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61CBE3B3" w14:textId="77777777" w:rsidR="000C3E8C" w:rsidRPr="000C3E8C" w:rsidRDefault="000C3E8C" w:rsidP="000C3E8C">
            <w:pPr>
              <w:spacing w:after="0" w:line="240" w:lineRule="auto"/>
              <w:rPr>
                <w:rFonts w:ascii="Times New Roman" w:hAnsi="Times New Roman" w:cs="Times New Roman"/>
                <w:sz w:val="24"/>
                <w:szCs w:val="24"/>
              </w:rPr>
            </w:pPr>
            <w:r w:rsidRPr="000C3E8C">
              <w:rPr>
                <w:rFonts w:ascii="Times New Roman" w:hAnsi="Times New Roman" w:cs="Times New Roman"/>
                <w:sz w:val="24"/>
                <w:szCs w:val="24"/>
              </w:rPr>
              <w:t>ДК 021:2015 код 30160000-8 Магнітні картки (</w:t>
            </w:r>
            <w:proofErr w:type="spellStart"/>
            <w:r w:rsidRPr="000C3E8C">
              <w:rPr>
                <w:rFonts w:ascii="Times New Roman" w:hAnsi="Times New Roman" w:cs="Times New Roman"/>
                <w:sz w:val="24"/>
                <w:szCs w:val="24"/>
              </w:rPr>
              <w:t>Скретч</w:t>
            </w:r>
            <w:proofErr w:type="spellEnd"/>
            <w:r w:rsidRPr="000C3E8C">
              <w:rPr>
                <w:rFonts w:ascii="Times New Roman" w:hAnsi="Times New Roman" w:cs="Times New Roman"/>
                <w:sz w:val="24"/>
                <w:szCs w:val="24"/>
              </w:rPr>
              <w:t>-картки (ваучери) номіналом 100 грн., призначені для поповнення рахунку абонентів мереж рухомого (мобільного) телефонного зв’язку «Київстар», «</w:t>
            </w:r>
            <w:proofErr w:type="spellStart"/>
            <w:r w:rsidRPr="000C3E8C">
              <w:rPr>
                <w:rFonts w:ascii="Times New Roman" w:hAnsi="Times New Roman" w:cs="Times New Roman"/>
                <w:sz w:val="24"/>
                <w:szCs w:val="24"/>
              </w:rPr>
              <w:t>Lifecell</w:t>
            </w:r>
            <w:proofErr w:type="spellEnd"/>
            <w:r w:rsidRPr="000C3E8C">
              <w:rPr>
                <w:rFonts w:ascii="Times New Roman" w:hAnsi="Times New Roman" w:cs="Times New Roman"/>
                <w:sz w:val="24"/>
                <w:szCs w:val="24"/>
              </w:rPr>
              <w:t>», «</w:t>
            </w:r>
            <w:proofErr w:type="spellStart"/>
            <w:r w:rsidRPr="000C3E8C">
              <w:rPr>
                <w:rFonts w:ascii="Times New Roman" w:hAnsi="Times New Roman" w:cs="Times New Roman"/>
                <w:sz w:val="24"/>
                <w:szCs w:val="24"/>
              </w:rPr>
              <w:t>Vodafone</w:t>
            </w:r>
            <w:proofErr w:type="spellEnd"/>
            <w:r w:rsidRPr="000C3E8C">
              <w:rPr>
                <w:rFonts w:ascii="Times New Roman" w:hAnsi="Times New Roman" w:cs="Times New Roman"/>
                <w:sz w:val="24"/>
                <w:szCs w:val="24"/>
              </w:rPr>
              <w:t>»)</w:t>
            </w:r>
          </w:p>
          <w:p w14:paraId="5DC0B260" w14:textId="697EEB37" w:rsidR="002E523A" w:rsidRPr="00BB5264" w:rsidRDefault="002E523A" w:rsidP="000C3E8C">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5EECE830" w:rsidR="00672002" w:rsidRPr="00BB5264" w:rsidRDefault="000C3E8C" w:rsidP="005C3E0E">
            <w:pPr>
              <w:rPr>
                <w:rFonts w:ascii="Times New Roman" w:hAnsi="Times New Roman" w:cs="Times New Roman"/>
                <w:sz w:val="24"/>
                <w:szCs w:val="24"/>
              </w:rPr>
            </w:pPr>
            <w:r w:rsidRPr="000C3E8C">
              <w:rPr>
                <w:rFonts w:ascii="Times New Roman" w:hAnsi="Times New Roman" w:cs="Times New Roman"/>
                <w:sz w:val="24"/>
                <w:szCs w:val="24"/>
              </w:rPr>
              <w:t>UA-2023-03-09-010403-a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F12E04F" w:rsidR="00B55857" w:rsidRPr="007C6E6F" w:rsidRDefault="000C3E8C" w:rsidP="007C6E6F">
            <w:pPr>
              <w:rPr>
                <w:rFonts w:ascii="Times New Roman" w:hAnsi="Times New Roman" w:cs="Times New Roman"/>
                <w:sz w:val="24"/>
                <w:szCs w:val="24"/>
              </w:rPr>
            </w:pPr>
            <w:r w:rsidRPr="000C3E8C">
              <w:rPr>
                <w:rFonts w:ascii="Times New Roman" w:hAnsi="Times New Roman" w:cs="Times New Roman"/>
                <w:sz w:val="24"/>
                <w:szCs w:val="24"/>
              </w:rPr>
              <w:br/>
              <w:t>334 121,00</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366C73B6" w14:textId="319A4A83" w:rsidR="007606DD" w:rsidRPr="00BB5264" w:rsidRDefault="00753D96" w:rsidP="00E240D4">
            <w:pPr>
              <w:rPr>
                <w:rFonts w:ascii="Times New Roman" w:hAnsi="Times New Roman" w:cs="Times New Roman"/>
                <w:sz w:val="24"/>
                <w:szCs w:val="24"/>
              </w:rPr>
            </w:pPr>
            <w:r w:rsidRPr="00753D96">
              <w:rPr>
                <w:rFonts w:ascii="Times New Roman" w:hAnsi="Times New Roman" w:cs="Times New Roman"/>
                <w:sz w:val="24"/>
                <w:szCs w:val="24"/>
              </w:rPr>
              <w:t> </w:t>
            </w:r>
            <w:r w:rsidR="00FC2737" w:rsidRPr="00FC2737">
              <w:rPr>
                <w:rFonts w:ascii="Times New Roman" w:hAnsi="Times New Roman" w:cs="Times New Roman"/>
                <w:sz w:val="24"/>
                <w:szCs w:val="24"/>
              </w:rPr>
              <w:t>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FC2737" w:rsidRPr="00FC2737">
              <w:rPr>
                <w:rFonts w:ascii="Times New Roman" w:hAnsi="Times New Roman" w:cs="Times New Roman"/>
                <w:sz w:val="24"/>
                <w:szCs w:val="24"/>
              </w:rPr>
              <w:t xml:space="preserve"> та </w:t>
            </w:r>
            <w:proofErr w:type="spellStart"/>
            <w:r w:rsidR="00FC2737" w:rsidRPr="00FC2737">
              <w:rPr>
                <w:rFonts w:ascii="Times New Roman" w:hAnsi="Times New Roman" w:cs="Times New Roman"/>
                <w:sz w:val="24"/>
                <w:szCs w:val="24"/>
              </w:rPr>
              <w:t>ITF«Надання</w:t>
            </w:r>
            <w:proofErr w:type="spellEnd"/>
            <w:r w:rsidR="00FC2737" w:rsidRPr="00FC2737">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00FC2737" w:rsidRPr="00FC2737">
              <w:rPr>
                <w:rFonts w:ascii="Times New Roman" w:hAnsi="Times New Roman" w:cs="Times New Roman"/>
                <w:sz w:val="24"/>
                <w:szCs w:val="24"/>
              </w:rPr>
              <w:t>моніторингу,епідеміологічного</w:t>
            </w:r>
            <w:proofErr w:type="spellEnd"/>
            <w:r w:rsidR="00FC2737" w:rsidRPr="00FC2737">
              <w:rPr>
                <w:rFonts w:ascii="Times New Roman" w:hAnsi="Times New Roman" w:cs="Times New Roman"/>
                <w:sz w:val="24"/>
                <w:szCs w:val="24"/>
              </w:rPr>
              <w:t xml:space="preserve"> нагляду, реагування на спалахи захворювання та їхньої профілактики»</w:t>
            </w:r>
            <w:r w:rsidR="000C3E8C">
              <w:rPr>
                <w:rFonts w:ascii="Times New Roman" w:hAnsi="Times New Roman" w:cs="Times New Roman"/>
                <w:sz w:val="24"/>
                <w:szCs w:val="24"/>
              </w:rPr>
              <w:t xml:space="preserve"> , </w:t>
            </w:r>
            <w:r w:rsidR="000C3E8C" w:rsidRPr="000C3E8C">
              <w:rPr>
                <w:rFonts w:ascii="Times New Roman" w:hAnsi="Times New Roman" w:cs="Times New Roman"/>
                <w:sz w:val="24"/>
                <w:szCs w:val="24"/>
              </w:rPr>
              <w:t>INFLUENZA «Епідеміологічний нагляд та відповідь на загрозу пташиного та пандемічного грипу з боку національних органів охорони здоров’я поза межами США», що реалізовуються за фінансової підтримки Департаменту охорони здоров’я та соціального забезпечення США (DHHS) «Центри контролю та профілактики захворювань США»</w:t>
            </w:r>
          </w:p>
        </w:tc>
      </w:tr>
    </w:tbl>
    <w:p w14:paraId="03CD3BB2" w14:textId="77777777" w:rsidR="00E624FB" w:rsidRPr="00924BE7" w:rsidRDefault="000C3E8C"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3E8C"/>
    <w:rsid w:val="00220BA2"/>
    <w:rsid w:val="002A54E4"/>
    <w:rsid w:val="002E02C7"/>
    <w:rsid w:val="002E523A"/>
    <w:rsid w:val="00317AEA"/>
    <w:rsid w:val="004739B2"/>
    <w:rsid w:val="004B024E"/>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47483929">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54648111">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2873</Words>
  <Characters>1638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2023-04-13T10:11:00Z</dcterms:created>
  <dcterms:modified xsi:type="dcterms:W3CDTF">2023-04-13T10:11:00Z</dcterms:modified>
</cp:coreProperties>
</file>