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814C" w14:textId="0C3103A4" w:rsidR="00E568A1" w:rsidRPr="009A705C" w:rsidRDefault="00307864" w:rsidP="0037724F">
      <w:pPr>
        <w:jc w:val="both"/>
        <w:rPr>
          <w:rFonts w:ascii="Arial" w:hAnsi="Arial" w:cs="Arial"/>
          <w:color w:val="C00000"/>
          <w:lang w:val="uk-UA"/>
        </w:rPr>
      </w:pPr>
      <w:r>
        <w:rPr>
          <w:noProof/>
          <w:sz w:val="20"/>
          <w:szCs w:val="20"/>
          <w:lang w:eastAsia="ru-RU"/>
        </w:rPr>
        <w:drawing>
          <wp:anchor distT="0" distB="0" distL="114300" distR="114300" simplePos="0" relativeHeight="251663360" behindDoc="1" locked="0" layoutInCell="0" allowOverlap="1" wp14:anchorId="03BBAFDF" wp14:editId="6B3BA39C">
            <wp:simplePos x="0" y="0"/>
            <wp:positionH relativeFrom="page">
              <wp:posOffset>-518648</wp:posOffset>
            </wp:positionH>
            <wp:positionV relativeFrom="page">
              <wp:posOffset>232068</wp:posOffset>
            </wp:positionV>
            <wp:extent cx="1769110" cy="6403975"/>
            <wp:effectExtent l="0" t="0" r="0" b="0"/>
            <wp:wrapNone/>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769110" cy="6403975"/>
                    </a:xfrm>
                    <a:prstGeom prst="rect">
                      <a:avLst/>
                    </a:prstGeom>
                    <a:noFill/>
                  </pic:spPr>
                </pic:pic>
              </a:graphicData>
            </a:graphic>
          </wp:anchor>
        </w:drawing>
      </w:r>
    </w:p>
    <w:p w14:paraId="1BCC00C0" w14:textId="76509354" w:rsidR="00E568A1" w:rsidRPr="00175205" w:rsidRDefault="00E568A1" w:rsidP="0037724F">
      <w:pPr>
        <w:autoSpaceDE w:val="0"/>
        <w:autoSpaceDN w:val="0"/>
        <w:adjustRightInd w:val="0"/>
        <w:spacing w:after="0" w:line="240" w:lineRule="auto"/>
        <w:jc w:val="both"/>
        <w:rPr>
          <w:rFonts w:ascii="Arial" w:hAnsi="Arial" w:cs="Arial"/>
          <w:b/>
          <w:bCs/>
          <w:color w:val="C00000"/>
          <w:sz w:val="48"/>
          <w:szCs w:val="48"/>
          <w:lang w:val="uk-UA"/>
        </w:rPr>
      </w:pPr>
    </w:p>
    <w:p w14:paraId="7C458BCE" w14:textId="78FE9C35" w:rsidR="00E568A1" w:rsidRPr="00B51CFB" w:rsidRDefault="00E568A1" w:rsidP="0037724F">
      <w:pPr>
        <w:autoSpaceDE w:val="0"/>
        <w:autoSpaceDN w:val="0"/>
        <w:adjustRightInd w:val="0"/>
        <w:spacing w:after="0" w:line="240" w:lineRule="auto"/>
        <w:jc w:val="both"/>
        <w:rPr>
          <w:rFonts w:ascii="Arial" w:hAnsi="Arial" w:cs="Arial"/>
          <w:b/>
          <w:bCs/>
          <w:color w:val="6A2041"/>
          <w:sz w:val="48"/>
          <w:szCs w:val="48"/>
          <w:lang w:val="uk-UA"/>
        </w:rPr>
      </w:pPr>
    </w:p>
    <w:p w14:paraId="131157AC" w14:textId="50C96FE2" w:rsidR="00E568A1" w:rsidRPr="00B51CFB" w:rsidRDefault="007D3500" w:rsidP="00A40B41">
      <w:pPr>
        <w:autoSpaceDE w:val="0"/>
        <w:autoSpaceDN w:val="0"/>
        <w:adjustRightInd w:val="0"/>
        <w:spacing w:after="0" w:line="240" w:lineRule="auto"/>
        <w:rPr>
          <w:rFonts w:ascii="Arial" w:hAnsi="Arial" w:cs="Arial"/>
          <w:b/>
          <w:bCs/>
          <w:color w:val="6A2041"/>
          <w:sz w:val="80"/>
          <w:szCs w:val="80"/>
          <w:lang w:val="uk-UA"/>
        </w:rPr>
      </w:pPr>
      <w:r w:rsidRPr="00B51CFB">
        <w:rPr>
          <w:rFonts w:ascii="Arial" w:hAnsi="Arial" w:cs="Arial"/>
          <w:b/>
          <w:bCs/>
          <w:color w:val="6A2041"/>
          <w:sz w:val="80"/>
          <w:szCs w:val="80"/>
        </w:rPr>
        <w:t>Застосування</w:t>
      </w:r>
      <w:r w:rsidR="00E568A1" w:rsidRPr="00B51CFB">
        <w:rPr>
          <w:rFonts w:ascii="Arial" w:hAnsi="Arial" w:cs="Arial"/>
          <w:b/>
          <w:bCs/>
          <w:color w:val="6A2041"/>
          <w:sz w:val="80"/>
          <w:szCs w:val="80"/>
        </w:rPr>
        <w:t xml:space="preserve"> </w:t>
      </w:r>
      <w:r w:rsidR="00307864">
        <w:rPr>
          <w:rFonts w:ascii="Arial" w:hAnsi="Arial" w:cs="Arial"/>
          <w:b/>
          <w:bCs/>
          <w:color w:val="6A2041"/>
          <w:sz w:val="80"/>
          <w:szCs w:val="80"/>
        </w:rPr>
        <w:t xml:space="preserve">           </w:t>
      </w:r>
      <w:r w:rsidR="00BD40FE">
        <w:rPr>
          <w:rFonts w:ascii="Arial" w:hAnsi="Arial" w:cs="Arial"/>
          <w:b/>
          <w:bCs/>
          <w:color w:val="6A2041"/>
          <w:sz w:val="80"/>
          <w:szCs w:val="80"/>
        </w:rPr>
        <w:t>бедаквіліну у</w:t>
      </w:r>
      <w:r w:rsidR="00E568A1" w:rsidRPr="00B51CFB">
        <w:rPr>
          <w:rFonts w:ascii="Arial" w:hAnsi="Arial" w:cs="Arial"/>
          <w:b/>
          <w:bCs/>
          <w:color w:val="6A2041"/>
          <w:sz w:val="80"/>
          <w:szCs w:val="80"/>
        </w:rPr>
        <w:t xml:space="preserve"> лікуванні </w:t>
      </w:r>
      <w:r w:rsidR="00E568A1" w:rsidRPr="00B51CFB">
        <w:rPr>
          <w:rFonts w:ascii="Arial" w:hAnsi="Arial" w:cs="Arial"/>
          <w:b/>
          <w:bCs/>
          <w:color w:val="6A2041"/>
          <w:sz w:val="80"/>
          <w:szCs w:val="80"/>
          <w:lang w:val="uk-UA"/>
        </w:rPr>
        <w:t>мультирезистентного</w:t>
      </w:r>
      <w:r w:rsidR="00E568A1" w:rsidRPr="00B51CFB">
        <w:rPr>
          <w:rFonts w:ascii="Arial" w:hAnsi="Arial" w:cs="Arial"/>
          <w:b/>
          <w:bCs/>
          <w:color w:val="6A2041"/>
          <w:sz w:val="80"/>
          <w:szCs w:val="80"/>
        </w:rPr>
        <w:t xml:space="preserve"> туберкульозу</w:t>
      </w:r>
      <w:r w:rsidR="00E568A1" w:rsidRPr="00B51CFB">
        <w:rPr>
          <w:rFonts w:ascii="Arial" w:hAnsi="Arial" w:cs="Arial"/>
          <w:b/>
          <w:bCs/>
          <w:color w:val="6A2041"/>
          <w:sz w:val="80"/>
          <w:szCs w:val="80"/>
          <w:lang w:val="uk-UA"/>
        </w:rPr>
        <w:t xml:space="preserve"> </w:t>
      </w:r>
    </w:p>
    <w:p w14:paraId="1B5D2273" w14:textId="77777777" w:rsidR="00E568A1" w:rsidRPr="00B51CFB" w:rsidRDefault="00E568A1" w:rsidP="00A40B41">
      <w:pPr>
        <w:autoSpaceDE w:val="0"/>
        <w:autoSpaceDN w:val="0"/>
        <w:adjustRightInd w:val="0"/>
        <w:spacing w:after="0" w:line="240" w:lineRule="auto"/>
        <w:jc w:val="both"/>
        <w:rPr>
          <w:rFonts w:ascii="Arial" w:hAnsi="Arial" w:cs="Arial"/>
          <w:b/>
          <w:bCs/>
          <w:color w:val="6A2041"/>
          <w:sz w:val="48"/>
          <w:szCs w:val="48"/>
        </w:rPr>
      </w:pPr>
    </w:p>
    <w:p w14:paraId="5EFF5BC2" w14:textId="13E824ED" w:rsidR="00E568A1" w:rsidRPr="00B51CFB" w:rsidRDefault="00137728" w:rsidP="009B51D9">
      <w:pPr>
        <w:autoSpaceDE w:val="0"/>
        <w:autoSpaceDN w:val="0"/>
        <w:adjustRightInd w:val="0"/>
        <w:spacing w:after="0" w:line="240" w:lineRule="auto"/>
        <w:jc w:val="both"/>
        <w:outlineLvl w:val="0"/>
        <w:rPr>
          <w:rFonts w:ascii="Arial" w:hAnsi="Arial" w:cs="Arial"/>
          <w:b/>
          <w:bCs/>
          <w:color w:val="6A2041"/>
          <w:sz w:val="48"/>
          <w:szCs w:val="48"/>
          <w:lang w:val="uk-UA"/>
        </w:rPr>
      </w:pPr>
      <w:r w:rsidRPr="00B51CFB">
        <w:rPr>
          <w:rFonts w:ascii="Arial" w:hAnsi="Arial" w:cs="Arial"/>
          <w:b/>
          <w:bCs/>
          <w:color w:val="6A2041"/>
          <w:sz w:val="48"/>
          <w:szCs w:val="48"/>
          <w:lang w:val="uk-UA"/>
        </w:rPr>
        <w:t>Тимчасові</w:t>
      </w:r>
      <w:r w:rsidR="00E568A1" w:rsidRPr="00B51CFB">
        <w:rPr>
          <w:rFonts w:ascii="Arial" w:hAnsi="Arial" w:cs="Arial"/>
          <w:b/>
          <w:bCs/>
          <w:color w:val="6A2041"/>
          <w:sz w:val="48"/>
          <w:szCs w:val="48"/>
          <w:lang w:val="uk-UA"/>
        </w:rPr>
        <w:t xml:space="preserve"> рекомендації</w:t>
      </w:r>
    </w:p>
    <w:p w14:paraId="05701458" w14:textId="77777777" w:rsidR="00E568A1" w:rsidRPr="0014339A" w:rsidRDefault="00E568A1" w:rsidP="0037724F">
      <w:pPr>
        <w:autoSpaceDE w:val="0"/>
        <w:autoSpaceDN w:val="0"/>
        <w:adjustRightInd w:val="0"/>
        <w:spacing w:after="0" w:line="240" w:lineRule="auto"/>
        <w:jc w:val="both"/>
        <w:rPr>
          <w:rFonts w:ascii="Arial" w:hAnsi="Arial" w:cs="Arial"/>
          <w:b/>
          <w:bCs/>
          <w:color w:val="000000"/>
          <w:sz w:val="48"/>
          <w:szCs w:val="48"/>
        </w:rPr>
      </w:pPr>
    </w:p>
    <w:p w14:paraId="37C938E7" w14:textId="77777777" w:rsidR="00E568A1" w:rsidRPr="0014339A" w:rsidRDefault="00E568A1" w:rsidP="0037724F">
      <w:pPr>
        <w:autoSpaceDE w:val="0"/>
        <w:autoSpaceDN w:val="0"/>
        <w:adjustRightInd w:val="0"/>
        <w:spacing w:after="0" w:line="240" w:lineRule="auto"/>
        <w:jc w:val="both"/>
        <w:rPr>
          <w:rFonts w:ascii="Arial" w:hAnsi="Arial" w:cs="Arial"/>
          <w:b/>
          <w:bCs/>
          <w:color w:val="000000"/>
          <w:sz w:val="48"/>
          <w:szCs w:val="48"/>
        </w:rPr>
      </w:pPr>
    </w:p>
    <w:p w14:paraId="3D98D3F4" w14:textId="77777777" w:rsidR="00E568A1" w:rsidRPr="0014339A" w:rsidRDefault="00E568A1" w:rsidP="0037724F">
      <w:pPr>
        <w:autoSpaceDE w:val="0"/>
        <w:autoSpaceDN w:val="0"/>
        <w:adjustRightInd w:val="0"/>
        <w:spacing w:after="0" w:line="240" w:lineRule="auto"/>
        <w:jc w:val="both"/>
        <w:rPr>
          <w:rFonts w:ascii="Arial" w:hAnsi="Arial" w:cs="Arial"/>
          <w:b/>
          <w:bCs/>
          <w:color w:val="000000"/>
          <w:sz w:val="48"/>
          <w:szCs w:val="48"/>
        </w:rPr>
      </w:pPr>
    </w:p>
    <w:p w14:paraId="2B080FE8"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6F571012"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7A1065BE"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621C16BE"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6AA16671"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4CE3DAB6"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5C4A53E7"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2A81B251" w14:textId="77777777" w:rsidR="00E568A1" w:rsidRPr="00713994" w:rsidRDefault="00E568A1" w:rsidP="0037724F">
      <w:pPr>
        <w:autoSpaceDE w:val="0"/>
        <w:autoSpaceDN w:val="0"/>
        <w:adjustRightInd w:val="0"/>
        <w:spacing w:after="0" w:line="240" w:lineRule="auto"/>
        <w:jc w:val="both"/>
        <w:rPr>
          <w:rFonts w:ascii="Arial" w:hAnsi="Arial" w:cs="Arial"/>
          <w:b/>
          <w:bCs/>
          <w:color w:val="000000"/>
          <w:sz w:val="48"/>
          <w:szCs w:val="48"/>
        </w:rPr>
      </w:pPr>
    </w:p>
    <w:p w14:paraId="4CA28865" w14:textId="77777777" w:rsidR="00A60AE1" w:rsidRPr="00713994" w:rsidRDefault="00A60AE1" w:rsidP="0037724F">
      <w:pPr>
        <w:autoSpaceDE w:val="0"/>
        <w:autoSpaceDN w:val="0"/>
        <w:adjustRightInd w:val="0"/>
        <w:spacing w:after="0" w:line="240" w:lineRule="auto"/>
        <w:jc w:val="both"/>
        <w:rPr>
          <w:rFonts w:ascii="Arial" w:hAnsi="Arial" w:cs="Arial"/>
          <w:b/>
          <w:bCs/>
          <w:color w:val="000000"/>
          <w:sz w:val="48"/>
          <w:szCs w:val="48"/>
        </w:rPr>
      </w:pPr>
    </w:p>
    <w:p w14:paraId="125762A9" w14:textId="77777777" w:rsidR="00A60AE1" w:rsidRPr="00713994" w:rsidRDefault="00A60AE1" w:rsidP="0037724F">
      <w:pPr>
        <w:autoSpaceDE w:val="0"/>
        <w:autoSpaceDN w:val="0"/>
        <w:adjustRightInd w:val="0"/>
        <w:spacing w:after="0" w:line="240" w:lineRule="auto"/>
        <w:jc w:val="both"/>
        <w:rPr>
          <w:rFonts w:ascii="Arial" w:hAnsi="Arial" w:cs="Arial"/>
          <w:b/>
          <w:bCs/>
          <w:color w:val="000000"/>
          <w:sz w:val="48"/>
          <w:szCs w:val="48"/>
        </w:rPr>
      </w:pPr>
    </w:p>
    <w:p w14:paraId="5AD60505" w14:textId="77777777" w:rsidR="00BD40FE" w:rsidRDefault="00BD40FE" w:rsidP="009B51D9">
      <w:pPr>
        <w:pStyle w:val="xfmc1"/>
        <w:spacing w:before="0" w:beforeAutospacing="0" w:after="0" w:afterAutospacing="0" w:line="209" w:lineRule="atLeast"/>
        <w:ind w:left="6" w:right="1186"/>
        <w:outlineLvl w:val="0"/>
        <w:rPr>
          <w:rFonts w:ascii="Arial" w:hAnsi="Arial" w:cs="Arial"/>
          <w:b/>
          <w:bCs/>
          <w:color w:val="000000"/>
          <w:lang w:val="uk-UA"/>
        </w:rPr>
      </w:pPr>
    </w:p>
    <w:p w14:paraId="5F8B7B70" w14:textId="77777777" w:rsidR="00BD40FE" w:rsidRDefault="00BD40FE" w:rsidP="009B51D9">
      <w:pPr>
        <w:pStyle w:val="xfmc1"/>
        <w:spacing w:before="0" w:beforeAutospacing="0" w:after="0" w:afterAutospacing="0" w:line="209" w:lineRule="atLeast"/>
        <w:ind w:left="6" w:right="1186"/>
        <w:outlineLvl w:val="0"/>
        <w:rPr>
          <w:rFonts w:ascii="Arial" w:hAnsi="Arial" w:cs="Arial"/>
          <w:b/>
          <w:bCs/>
          <w:color w:val="000000"/>
          <w:lang w:val="uk-UA"/>
        </w:rPr>
      </w:pPr>
    </w:p>
    <w:p w14:paraId="050B63BD" w14:textId="77777777" w:rsidR="00BD40FE" w:rsidRDefault="00BD40FE" w:rsidP="009B51D9">
      <w:pPr>
        <w:pStyle w:val="xfmc1"/>
        <w:spacing w:before="0" w:beforeAutospacing="0" w:after="0" w:afterAutospacing="0" w:line="209" w:lineRule="atLeast"/>
        <w:ind w:left="6" w:right="1186"/>
        <w:outlineLvl w:val="0"/>
        <w:rPr>
          <w:rFonts w:ascii="Arial" w:hAnsi="Arial" w:cs="Arial"/>
          <w:b/>
          <w:bCs/>
          <w:color w:val="000000"/>
          <w:lang w:val="uk-UA"/>
        </w:rPr>
      </w:pPr>
    </w:p>
    <w:p w14:paraId="2DF7D21A" w14:textId="77777777" w:rsidR="00386451" w:rsidRDefault="00386451" w:rsidP="009B51D9">
      <w:pPr>
        <w:pStyle w:val="xfmc1"/>
        <w:spacing w:before="0" w:beforeAutospacing="0" w:after="0" w:afterAutospacing="0" w:line="209" w:lineRule="atLeast"/>
        <w:ind w:left="6" w:right="1186"/>
        <w:outlineLvl w:val="0"/>
        <w:rPr>
          <w:rFonts w:ascii="Arial" w:hAnsi="Arial" w:cs="Arial"/>
          <w:color w:val="000000"/>
        </w:rPr>
      </w:pPr>
      <w:r>
        <w:rPr>
          <w:rFonts w:ascii="Arial" w:hAnsi="Arial" w:cs="Arial"/>
          <w:b/>
          <w:bCs/>
          <w:color w:val="000000"/>
          <w:lang w:val="uk-UA"/>
        </w:rPr>
        <w:lastRenderedPageBreak/>
        <w:t>Повідомлення</w:t>
      </w:r>
      <w:r>
        <w:rPr>
          <w:rStyle w:val="apple-converted-space"/>
          <w:rFonts w:ascii="Arial" w:hAnsi="Arial" w:cs="Arial"/>
          <w:b/>
          <w:bCs/>
          <w:color w:val="000000"/>
          <w:lang w:val="en-US"/>
        </w:rPr>
        <w:t> </w:t>
      </w:r>
      <w:r>
        <w:rPr>
          <w:rFonts w:ascii="Arial" w:hAnsi="Arial" w:cs="Arial"/>
          <w:b/>
          <w:bCs/>
          <w:color w:val="000000"/>
          <w:lang w:val="en-US"/>
        </w:rPr>
        <w:t>про обмеження відповідальності</w:t>
      </w:r>
    </w:p>
    <w:p w14:paraId="17440A1D" w14:textId="77777777" w:rsidR="00386451" w:rsidRDefault="00386451" w:rsidP="00386451">
      <w:pPr>
        <w:pStyle w:val="xfmc1"/>
        <w:spacing w:before="0" w:beforeAutospacing="0" w:after="0" w:afterAutospacing="0" w:line="209" w:lineRule="atLeast"/>
        <w:ind w:left="6" w:right="1186"/>
        <w:rPr>
          <w:rFonts w:ascii="Arial" w:hAnsi="Arial" w:cs="Arial"/>
          <w:color w:val="000000"/>
        </w:rPr>
      </w:pPr>
      <w:r>
        <w:rPr>
          <w:rFonts w:ascii="Arial" w:hAnsi="Arial" w:cs="Arial"/>
          <w:color w:val="000000"/>
        </w:rPr>
        <w:t> </w:t>
      </w:r>
    </w:p>
    <w:p w14:paraId="2844A5C5" w14:textId="77777777" w:rsidR="00386451" w:rsidRDefault="00386451" w:rsidP="00386451">
      <w:pPr>
        <w:pStyle w:val="xfmc1"/>
        <w:spacing w:before="0" w:beforeAutospacing="0" w:after="0" w:afterAutospacing="0" w:line="209" w:lineRule="atLeast"/>
        <w:ind w:left="6" w:right="1186"/>
        <w:rPr>
          <w:rFonts w:ascii="Arial" w:hAnsi="Arial" w:cs="Arial"/>
          <w:color w:val="000000"/>
        </w:rPr>
      </w:pPr>
      <w:r>
        <w:rPr>
          <w:rFonts w:ascii="Arial" w:hAnsi="Arial" w:cs="Arial"/>
          <w:color w:val="000000"/>
        </w:rPr>
        <w:t>Цей переклад не є офіційним перекладом Всесвітньої організації охорони здоров'я (ВООЗ).</w:t>
      </w:r>
      <w:r>
        <w:rPr>
          <w:rStyle w:val="apple-converted-space"/>
          <w:rFonts w:ascii="Arial" w:hAnsi="Arial" w:cs="Arial"/>
          <w:color w:val="000000"/>
        </w:rPr>
        <w:t> </w:t>
      </w:r>
    </w:p>
    <w:p w14:paraId="6C9848FC" w14:textId="77777777" w:rsidR="00386451" w:rsidRDefault="00386451" w:rsidP="00386451">
      <w:pPr>
        <w:pStyle w:val="xfmc1"/>
        <w:spacing w:before="0" w:beforeAutospacing="0" w:after="0" w:afterAutospacing="0" w:line="209" w:lineRule="atLeast"/>
        <w:ind w:left="6" w:right="1186"/>
        <w:rPr>
          <w:rFonts w:ascii="Arial" w:hAnsi="Arial" w:cs="Arial"/>
          <w:color w:val="000000"/>
        </w:rPr>
      </w:pPr>
      <w:r>
        <w:rPr>
          <w:rFonts w:ascii="Arial" w:hAnsi="Arial" w:cs="Arial"/>
          <w:color w:val="000000"/>
        </w:rPr>
        <w:t>ВООЗ не несе відповідальності за зміст і точність цього перекладу.</w:t>
      </w:r>
      <w:r>
        <w:rPr>
          <w:rStyle w:val="apple-converted-space"/>
          <w:rFonts w:ascii="Arial" w:hAnsi="Arial" w:cs="Arial"/>
          <w:color w:val="000000"/>
        </w:rPr>
        <w:t> </w:t>
      </w:r>
    </w:p>
    <w:p w14:paraId="2934E442" w14:textId="77777777" w:rsidR="00386451" w:rsidRDefault="00386451" w:rsidP="00386451">
      <w:pPr>
        <w:pStyle w:val="xfmc1"/>
        <w:spacing w:before="0" w:beforeAutospacing="0" w:after="0" w:afterAutospacing="0" w:line="209" w:lineRule="atLeast"/>
        <w:ind w:left="6" w:right="1186"/>
        <w:rPr>
          <w:rFonts w:ascii="Arial" w:hAnsi="Arial" w:cs="Arial"/>
          <w:color w:val="000000"/>
        </w:rPr>
      </w:pPr>
      <w:r>
        <w:rPr>
          <w:rFonts w:ascii="Arial" w:hAnsi="Arial" w:cs="Arial"/>
          <w:color w:val="000000"/>
        </w:rPr>
        <w:t>Єдиним автентичним виданням є видання англійською мовою </w:t>
      </w:r>
    </w:p>
    <w:p w14:paraId="0FF8D519" w14:textId="77777777" w:rsidR="00863A45" w:rsidRDefault="00863A45" w:rsidP="009B51D9">
      <w:pPr>
        <w:pStyle w:val="xfmc1"/>
        <w:spacing w:before="0" w:beforeAutospacing="0" w:after="240" w:afterAutospacing="0" w:line="280" w:lineRule="atLeast"/>
        <w:outlineLvl w:val="0"/>
        <w:rPr>
          <w:rFonts w:ascii="Arial" w:hAnsi="Arial" w:cs="Arial"/>
          <w:color w:val="000000"/>
        </w:rPr>
      </w:pPr>
    </w:p>
    <w:p w14:paraId="532FE96D" w14:textId="77777777" w:rsidR="00386451" w:rsidRDefault="00386451" w:rsidP="009B51D9">
      <w:pPr>
        <w:pStyle w:val="xfmc1"/>
        <w:spacing w:before="0" w:beforeAutospacing="0" w:after="240" w:afterAutospacing="0" w:line="280" w:lineRule="atLeast"/>
        <w:outlineLvl w:val="0"/>
        <w:rPr>
          <w:rFonts w:ascii="Arial" w:hAnsi="Arial" w:cs="Arial"/>
          <w:color w:val="000000"/>
        </w:rPr>
      </w:pPr>
      <w:r>
        <w:rPr>
          <w:rFonts w:ascii="Arial" w:hAnsi="Arial" w:cs="Arial"/>
          <w:b/>
          <w:bCs/>
          <w:color w:val="000000"/>
          <w:lang w:val="en-US"/>
        </w:rPr>
        <w:t>D</w:t>
      </w:r>
      <w:r>
        <w:rPr>
          <w:rFonts w:ascii="Arial" w:hAnsi="Arial" w:cs="Arial"/>
          <w:b/>
          <w:bCs/>
          <w:color w:val="000000"/>
        </w:rPr>
        <w:t>isclaimer</w:t>
      </w:r>
      <w:r>
        <w:rPr>
          <w:rStyle w:val="apple-converted-space"/>
          <w:rFonts w:ascii="Arial" w:hAnsi="Arial" w:cs="Arial"/>
          <w:b/>
          <w:bCs/>
          <w:color w:val="000000"/>
        </w:rPr>
        <w:t> </w:t>
      </w:r>
    </w:p>
    <w:p w14:paraId="701AEC1D" w14:textId="77777777" w:rsidR="00386451" w:rsidRDefault="00386451" w:rsidP="00386451">
      <w:pPr>
        <w:pStyle w:val="xfmc1"/>
        <w:spacing w:before="0" w:beforeAutospacing="0" w:after="240" w:afterAutospacing="0" w:line="280" w:lineRule="atLeast"/>
        <w:rPr>
          <w:rFonts w:ascii="Arial" w:hAnsi="Arial" w:cs="Arial"/>
          <w:color w:val="000000"/>
        </w:rPr>
      </w:pPr>
      <w:r>
        <w:rPr>
          <w:rFonts w:ascii="Arial" w:hAnsi="Arial" w:cs="Arial"/>
          <w:color w:val="000000"/>
        </w:rPr>
        <w:t>This translation was not created by the World Health Organization (WHO). WHO is not responsible for the content or accuracy of this translation. The original English edition shall be the binding and authentic edition</w:t>
      </w:r>
    </w:p>
    <w:p w14:paraId="26428C64" w14:textId="4BDD54B7" w:rsidR="00E568A1" w:rsidRPr="00255826" w:rsidRDefault="00E568A1" w:rsidP="008D6C59">
      <w:pPr>
        <w:autoSpaceDE w:val="0"/>
        <w:autoSpaceDN w:val="0"/>
        <w:adjustRightInd w:val="0"/>
        <w:spacing w:after="0" w:line="240" w:lineRule="auto"/>
        <w:rPr>
          <w:rFonts w:ascii="Arial" w:hAnsi="Arial" w:cs="Arial"/>
          <w:i/>
          <w:color w:val="000000"/>
          <w:lang w:val="uk-UA"/>
        </w:rPr>
      </w:pPr>
      <w:r w:rsidRPr="008D6C59">
        <w:rPr>
          <w:rFonts w:ascii="Arial" w:hAnsi="Arial" w:cs="Arial"/>
          <w:i/>
          <w:color w:val="000000"/>
        </w:rPr>
        <w:t>Ці рекомендації були розроблені у відповідності до процесу сбору доказів, оцінки та формулювання рекомендацій, як це викладено у Довіднику ВООЗ з розробки керівних принципів</w:t>
      </w:r>
      <w:r w:rsidRPr="00255826">
        <w:rPr>
          <w:rFonts w:ascii="Arial" w:hAnsi="Arial" w:cs="Arial"/>
          <w:i/>
          <w:color w:val="000000"/>
          <w:lang w:val="uk-UA"/>
        </w:rPr>
        <w:t>,</w:t>
      </w:r>
      <w:r w:rsidRPr="00255826">
        <w:rPr>
          <w:rFonts w:ascii="Arial" w:hAnsi="Arial" w:cs="Arial"/>
          <w:i/>
          <w:color w:val="000000"/>
        </w:rPr>
        <w:t xml:space="preserve"> доступно</w:t>
      </w:r>
      <w:r w:rsidR="00137728">
        <w:rPr>
          <w:rFonts w:ascii="Arial" w:hAnsi="Arial" w:cs="Arial"/>
          <w:i/>
          <w:color w:val="000000"/>
        </w:rPr>
        <w:t>му</w:t>
      </w:r>
      <w:r w:rsidRPr="00255826">
        <w:rPr>
          <w:rFonts w:ascii="Arial" w:hAnsi="Arial" w:cs="Arial"/>
          <w:i/>
          <w:color w:val="000000"/>
        </w:rPr>
        <w:t xml:space="preserve"> на сайті</w:t>
      </w:r>
      <w:r w:rsidRPr="00255826">
        <w:rPr>
          <w:rFonts w:ascii="Arial" w:hAnsi="Arial" w:cs="Arial"/>
          <w:i/>
          <w:color w:val="000000"/>
          <w:lang w:val="uk-UA"/>
        </w:rPr>
        <w:t xml:space="preserve"> з 2012 року  </w:t>
      </w:r>
      <w:r w:rsidRPr="00255826">
        <w:rPr>
          <w:rFonts w:ascii="Arial" w:hAnsi="Arial" w:cs="Arial"/>
          <w:color w:val="000000"/>
          <w:lang w:val="en-US"/>
        </w:rPr>
        <w:t>http</w:t>
      </w:r>
      <w:r w:rsidRPr="00255826">
        <w:rPr>
          <w:rFonts w:ascii="Arial" w:hAnsi="Arial" w:cs="Arial"/>
          <w:color w:val="000000"/>
        </w:rPr>
        <w:t>://</w:t>
      </w:r>
      <w:r w:rsidRPr="00255826">
        <w:rPr>
          <w:rFonts w:ascii="Arial" w:hAnsi="Arial" w:cs="Arial"/>
          <w:color w:val="000000"/>
          <w:lang w:val="en-US"/>
        </w:rPr>
        <w:t>apps</w:t>
      </w:r>
      <w:r w:rsidRPr="00255826">
        <w:rPr>
          <w:rFonts w:ascii="Arial" w:hAnsi="Arial" w:cs="Arial"/>
          <w:color w:val="000000"/>
        </w:rPr>
        <w:t>.</w:t>
      </w:r>
      <w:r w:rsidRPr="00255826">
        <w:rPr>
          <w:rFonts w:ascii="Arial" w:hAnsi="Arial" w:cs="Arial"/>
          <w:color w:val="000000"/>
          <w:lang w:val="en-US"/>
        </w:rPr>
        <w:t>who</w:t>
      </w:r>
      <w:r w:rsidRPr="00255826">
        <w:rPr>
          <w:rFonts w:ascii="Arial" w:hAnsi="Arial" w:cs="Arial"/>
          <w:color w:val="000000"/>
        </w:rPr>
        <w:t>.</w:t>
      </w:r>
      <w:r w:rsidRPr="00255826">
        <w:rPr>
          <w:rFonts w:ascii="Arial" w:hAnsi="Arial" w:cs="Arial"/>
          <w:color w:val="000000"/>
          <w:lang w:val="en-US"/>
        </w:rPr>
        <w:t>int</w:t>
      </w:r>
      <w:r w:rsidRPr="00255826">
        <w:rPr>
          <w:rFonts w:ascii="Arial" w:hAnsi="Arial" w:cs="Arial"/>
          <w:color w:val="000000"/>
        </w:rPr>
        <w:t>/</w:t>
      </w:r>
      <w:r w:rsidRPr="00255826">
        <w:rPr>
          <w:rFonts w:ascii="Arial" w:hAnsi="Arial" w:cs="Arial"/>
          <w:color w:val="000000"/>
          <w:lang w:val="en-US"/>
        </w:rPr>
        <w:t>iris</w:t>
      </w:r>
      <w:r w:rsidRPr="00255826">
        <w:rPr>
          <w:rFonts w:ascii="Arial" w:hAnsi="Arial" w:cs="Arial"/>
          <w:color w:val="000000"/>
        </w:rPr>
        <w:t>/</w:t>
      </w:r>
      <w:r w:rsidRPr="00255826">
        <w:rPr>
          <w:rFonts w:ascii="Arial" w:hAnsi="Arial" w:cs="Arial"/>
          <w:color w:val="000000"/>
          <w:lang w:val="en-US"/>
        </w:rPr>
        <w:t>bitstream</w:t>
      </w:r>
      <w:r w:rsidRPr="00255826">
        <w:rPr>
          <w:rFonts w:ascii="Arial" w:hAnsi="Arial" w:cs="Arial"/>
          <w:color w:val="000000"/>
        </w:rPr>
        <w:t>/10665/75146/1/9789241548441_</w:t>
      </w:r>
      <w:r w:rsidRPr="00255826">
        <w:rPr>
          <w:rFonts w:ascii="Arial" w:hAnsi="Arial" w:cs="Arial"/>
          <w:color w:val="000000"/>
          <w:lang w:val="en-US"/>
        </w:rPr>
        <w:t>eng</w:t>
      </w:r>
      <w:r w:rsidRPr="00255826">
        <w:rPr>
          <w:rFonts w:ascii="Arial" w:hAnsi="Arial" w:cs="Arial"/>
          <w:color w:val="000000"/>
        </w:rPr>
        <w:t>.</w:t>
      </w:r>
      <w:r w:rsidRPr="00255826">
        <w:rPr>
          <w:rFonts w:ascii="Arial" w:hAnsi="Arial" w:cs="Arial"/>
          <w:color w:val="000000"/>
          <w:lang w:val="en-US"/>
        </w:rPr>
        <w:t>pdf</w:t>
      </w:r>
      <w:r w:rsidRPr="00255826">
        <w:rPr>
          <w:rFonts w:ascii="Arial" w:hAnsi="Arial" w:cs="Arial"/>
          <w:color w:val="000000"/>
        </w:rPr>
        <w:t>.</w:t>
      </w:r>
    </w:p>
    <w:p w14:paraId="508B5E40" w14:textId="77777777" w:rsidR="00E568A1" w:rsidRPr="00255826" w:rsidRDefault="00E568A1" w:rsidP="00A40B41">
      <w:pPr>
        <w:autoSpaceDE w:val="0"/>
        <w:autoSpaceDN w:val="0"/>
        <w:adjustRightInd w:val="0"/>
        <w:spacing w:after="0" w:line="240" w:lineRule="auto"/>
        <w:jc w:val="both"/>
        <w:rPr>
          <w:rFonts w:ascii="Arial" w:hAnsi="Arial" w:cs="Arial"/>
          <w:color w:val="000000"/>
        </w:rPr>
      </w:pPr>
    </w:p>
    <w:p w14:paraId="0DAB95AB" w14:textId="7093AA91" w:rsidR="00E568A1" w:rsidRPr="008D6C59" w:rsidRDefault="007D3500" w:rsidP="0037724F">
      <w:pPr>
        <w:autoSpaceDE w:val="0"/>
        <w:autoSpaceDN w:val="0"/>
        <w:adjustRightInd w:val="0"/>
        <w:spacing w:after="0" w:line="240" w:lineRule="auto"/>
        <w:jc w:val="both"/>
        <w:rPr>
          <w:rFonts w:ascii="Arial" w:hAnsi="Arial" w:cs="Arial"/>
          <w:color w:val="000000"/>
        </w:rPr>
      </w:pPr>
      <w:r>
        <w:rPr>
          <w:rFonts w:ascii="Arial" w:hAnsi="Arial" w:cs="Arial"/>
          <w:color w:val="000000"/>
          <w:lang w:val="uk-UA"/>
        </w:rPr>
        <w:t>Застосування</w:t>
      </w:r>
      <w:r w:rsidR="00E568A1" w:rsidRPr="00255826">
        <w:rPr>
          <w:rFonts w:ascii="Arial" w:hAnsi="Arial" w:cs="Arial"/>
          <w:color w:val="000000"/>
          <w:lang w:val="uk-UA"/>
        </w:rPr>
        <w:t xml:space="preserve"> </w:t>
      </w:r>
      <w:r w:rsidR="00E568A1">
        <w:rPr>
          <w:rFonts w:ascii="Arial" w:hAnsi="Arial" w:cs="Arial"/>
          <w:color w:val="000000"/>
          <w:lang w:val="uk-UA"/>
        </w:rPr>
        <w:t>бедаквіліну при лікування мульти</w:t>
      </w:r>
      <w:r w:rsidR="00E568A1" w:rsidRPr="00255826">
        <w:rPr>
          <w:rFonts w:ascii="Arial" w:hAnsi="Arial" w:cs="Arial"/>
          <w:color w:val="000000"/>
          <w:lang w:val="uk-UA"/>
        </w:rPr>
        <w:t>резис</w:t>
      </w:r>
      <w:r w:rsidR="00E568A1">
        <w:rPr>
          <w:rFonts w:ascii="Arial" w:hAnsi="Arial" w:cs="Arial"/>
          <w:color w:val="000000"/>
          <w:lang w:val="uk-UA"/>
        </w:rPr>
        <w:t>тентного туберкульозу: тимчасові рекомендації</w:t>
      </w:r>
    </w:p>
    <w:p w14:paraId="0A99817D" w14:textId="77777777" w:rsidR="00E568A1" w:rsidRPr="008D6C59" w:rsidRDefault="00E568A1" w:rsidP="0037724F">
      <w:pPr>
        <w:autoSpaceDE w:val="0"/>
        <w:autoSpaceDN w:val="0"/>
        <w:adjustRightInd w:val="0"/>
        <w:spacing w:after="0" w:line="240" w:lineRule="auto"/>
        <w:jc w:val="both"/>
        <w:rPr>
          <w:rFonts w:ascii="Arial" w:hAnsi="Arial" w:cs="Arial"/>
          <w:color w:val="000000"/>
        </w:rPr>
      </w:pPr>
    </w:p>
    <w:p w14:paraId="55584E2D" w14:textId="43876CC0" w:rsidR="00F729F4" w:rsidRPr="00F729F4" w:rsidRDefault="00E568A1" w:rsidP="00F729F4">
      <w:pPr>
        <w:pStyle w:val="ad"/>
        <w:numPr>
          <w:ilvl w:val="0"/>
          <w:numId w:val="12"/>
        </w:numPr>
        <w:autoSpaceDE w:val="0"/>
        <w:autoSpaceDN w:val="0"/>
        <w:adjustRightInd w:val="0"/>
        <w:spacing w:after="0" w:line="240" w:lineRule="auto"/>
        <w:jc w:val="both"/>
        <w:rPr>
          <w:rFonts w:ascii="Arial" w:hAnsi="Arial" w:cs="Arial"/>
          <w:color w:val="000000"/>
          <w:lang w:val="uk-UA"/>
        </w:rPr>
      </w:pPr>
      <w:r w:rsidRPr="00F729F4">
        <w:rPr>
          <w:rFonts w:ascii="Arial" w:hAnsi="Arial" w:cs="Arial"/>
          <w:color w:val="000000"/>
          <w:lang w:val="uk-UA"/>
        </w:rPr>
        <w:t xml:space="preserve">Бедаквілін. 2. Антитуберкульозні агенти – способи застосування та дозування. </w:t>
      </w:r>
      <w:r w:rsidR="0039136D" w:rsidRPr="00F729F4">
        <w:rPr>
          <w:rFonts w:ascii="Arial" w:hAnsi="Arial" w:cs="Arial"/>
          <w:color w:val="000000"/>
          <w:lang w:val="uk-UA"/>
        </w:rPr>
        <w:t xml:space="preserve">                      </w:t>
      </w:r>
      <w:r w:rsidRPr="00F729F4">
        <w:rPr>
          <w:rFonts w:ascii="Arial" w:hAnsi="Arial" w:cs="Arial"/>
          <w:color w:val="000000"/>
          <w:lang w:val="uk-UA"/>
        </w:rPr>
        <w:t xml:space="preserve">3. Туберкульоз,  мультирезистентність – медикаментозна терапія . 4. Результат лікування.  5. Методична інструкція. I. Всесвітня організація охорони здоров'я. </w:t>
      </w:r>
    </w:p>
    <w:p w14:paraId="3E094D03" w14:textId="37BC07E3" w:rsidR="00E568A1" w:rsidRPr="00F729F4" w:rsidRDefault="00E568A1" w:rsidP="00F729F4">
      <w:pPr>
        <w:pStyle w:val="ad"/>
        <w:autoSpaceDE w:val="0"/>
        <w:autoSpaceDN w:val="0"/>
        <w:adjustRightInd w:val="0"/>
        <w:spacing w:after="0" w:line="240" w:lineRule="auto"/>
        <w:jc w:val="both"/>
        <w:rPr>
          <w:rFonts w:ascii="Arial" w:hAnsi="Arial" w:cs="Arial"/>
          <w:color w:val="000000"/>
          <w:lang w:val="uk-UA"/>
        </w:rPr>
      </w:pPr>
      <w:r w:rsidRPr="00F729F4">
        <w:rPr>
          <w:rFonts w:ascii="Arial" w:hAnsi="Arial" w:cs="Arial"/>
          <w:color w:val="000000"/>
          <w:lang w:val="en-US"/>
        </w:rPr>
        <w:t>ISBN</w:t>
      </w:r>
      <w:r w:rsidRPr="00F729F4">
        <w:rPr>
          <w:rFonts w:ascii="Arial" w:hAnsi="Arial" w:cs="Arial"/>
          <w:color w:val="000000"/>
          <w:lang w:val="uk-UA"/>
        </w:rPr>
        <w:t xml:space="preserve"> 978 92 4 150548 2 (</w:t>
      </w:r>
      <w:r w:rsidRPr="00F729F4">
        <w:rPr>
          <w:rFonts w:ascii="Arial" w:hAnsi="Arial" w:cs="Arial"/>
          <w:color w:val="000000"/>
          <w:lang w:val="en-US"/>
        </w:rPr>
        <w:t>NLM</w:t>
      </w:r>
      <w:r w:rsidRPr="00F729F4">
        <w:rPr>
          <w:rFonts w:ascii="Arial" w:hAnsi="Arial" w:cs="Arial"/>
          <w:color w:val="000000"/>
          <w:lang w:val="uk-UA"/>
        </w:rPr>
        <w:t xml:space="preserve"> класифікація: </w:t>
      </w:r>
      <w:r w:rsidRPr="00F729F4">
        <w:rPr>
          <w:rFonts w:ascii="Arial" w:hAnsi="Arial" w:cs="Arial"/>
          <w:color w:val="000000"/>
          <w:lang w:val="en-US"/>
        </w:rPr>
        <w:t>WF</w:t>
      </w:r>
      <w:r w:rsidRPr="00F729F4">
        <w:rPr>
          <w:rFonts w:ascii="Arial" w:hAnsi="Arial" w:cs="Arial"/>
          <w:color w:val="000000"/>
          <w:lang w:val="uk-UA"/>
        </w:rPr>
        <w:t xml:space="preserve"> 360)</w:t>
      </w:r>
    </w:p>
    <w:p w14:paraId="05DC3333" w14:textId="77777777" w:rsidR="00E568A1" w:rsidRPr="00255826" w:rsidRDefault="00E568A1" w:rsidP="0062637C">
      <w:pPr>
        <w:autoSpaceDE w:val="0"/>
        <w:autoSpaceDN w:val="0"/>
        <w:adjustRightInd w:val="0"/>
        <w:spacing w:after="0" w:line="240" w:lineRule="auto"/>
        <w:jc w:val="both"/>
        <w:rPr>
          <w:rFonts w:ascii="Arial" w:hAnsi="Arial" w:cs="Arial"/>
          <w:color w:val="000000"/>
          <w:lang w:val="uk-UA"/>
        </w:rPr>
      </w:pPr>
    </w:p>
    <w:p w14:paraId="6BA4ED76" w14:textId="77777777" w:rsidR="00E568A1" w:rsidRPr="00255826" w:rsidRDefault="00E568A1" w:rsidP="0037724F">
      <w:pPr>
        <w:autoSpaceDE w:val="0"/>
        <w:autoSpaceDN w:val="0"/>
        <w:adjustRightInd w:val="0"/>
        <w:spacing w:after="0" w:line="240" w:lineRule="auto"/>
        <w:jc w:val="both"/>
        <w:rPr>
          <w:rFonts w:ascii="Arial" w:hAnsi="Arial" w:cs="Arial"/>
          <w:b/>
          <w:bCs/>
          <w:color w:val="000000"/>
          <w:lang w:val="uk-UA"/>
        </w:rPr>
      </w:pPr>
      <w:r w:rsidRPr="00A60AE1">
        <w:rPr>
          <w:rFonts w:ascii="Arial" w:hAnsi="Arial" w:cs="Arial"/>
          <w:b/>
          <w:bCs/>
          <w:color w:val="000000"/>
          <w:lang w:val="uk-UA"/>
        </w:rPr>
        <w:t xml:space="preserve">© </w:t>
      </w:r>
      <w:r w:rsidRPr="00255826">
        <w:rPr>
          <w:rFonts w:ascii="Arial" w:hAnsi="Arial" w:cs="Arial"/>
          <w:b/>
          <w:bCs/>
          <w:color w:val="000000"/>
          <w:lang w:val="uk-UA"/>
        </w:rPr>
        <w:t>Всесвітня Організація Охорони Здоров</w:t>
      </w:r>
      <w:r w:rsidRPr="00A60AE1">
        <w:rPr>
          <w:rFonts w:ascii="Arial" w:hAnsi="Arial" w:cs="Arial"/>
          <w:b/>
          <w:bCs/>
          <w:color w:val="000000"/>
          <w:lang w:val="uk-UA"/>
        </w:rPr>
        <w:t>’</w:t>
      </w:r>
      <w:r w:rsidRPr="00255826">
        <w:rPr>
          <w:rFonts w:ascii="Arial" w:hAnsi="Arial" w:cs="Arial"/>
          <w:b/>
          <w:bCs/>
          <w:color w:val="000000"/>
          <w:lang w:val="uk-UA"/>
        </w:rPr>
        <w:t>я 2013</w:t>
      </w:r>
    </w:p>
    <w:p w14:paraId="3136C214" w14:textId="77777777" w:rsidR="00E568A1" w:rsidRPr="00A60AE1" w:rsidRDefault="00E568A1" w:rsidP="0062637C">
      <w:pPr>
        <w:autoSpaceDE w:val="0"/>
        <w:autoSpaceDN w:val="0"/>
        <w:adjustRightInd w:val="0"/>
        <w:spacing w:after="0" w:line="240" w:lineRule="auto"/>
        <w:rPr>
          <w:rFonts w:ascii="Arial" w:hAnsi="Arial" w:cs="Arial"/>
          <w:color w:val="000000"/>
          <w:lang w:val="uk-UA"/>
        </w:rPr>
      </w:pPr>
    </w:p>
    <w:p w14:paraId="1CC036A2" w14:textId="77777777" w:rsidR="00E568A1" w:rsidRPr="00A60AE1" w:rsidRDefault="00E568A1" w:rsidP="0062637C">
      <w:pPr>
        <w:autoSpaceDE w:val="0"/>
        <w:autoSpaceDN w:val="0"/>
        <w:adjustRightInd w:val="0"/>
        <w:spacing w:after="0" w:line="240" w:lineRule="auto"/>
        <w:rPr>
          <w:rFonts w:ascii="Arial" w:hAnsi="Arial" w:cs="Arial"/>
          <w:color w:val="000000"/>
          <w:lang w:val="uk-UA"/>
        </w:rPr>
      </w:pPr>
      <w:r w:rsidRPr="00A60AE1">
        <w:rPr>
          <w:rFonts w:ascii="Arial" w:hAnsi="Arial" w:cs="Arial"/>
          <w:color w:val="000000"/>
          <w:lang w:val="uk-UA"/>
        </w:rPr>
        <w:t>Всі права захищені. Публікації Всесвітньої організації охорони здоров'я розміщені на веб-сайті ВООЗ (</w:t>
      </w:r>
      <w:r w:rsidRPr="00255826">
        <w:rPr>
          <w:rFonts w:ascii="Arial" w:hAnsi="Arial" w:cs="Arial"/>
          <w:color w:val="000000"/>
          <w:lang w:val="en-US"/>
        </w:rPr>
        <w:t>www</w:t>
      </w:r>
      <w:r w:rsidRPr="00A60AE1">
        <w:rPr>
          <w:rFonts w:ascii="Arial" w:hAnsi="Arial" w:cs="Arial"/>
          <w:color w:val="000000"/>
          <w:lang w:val="uk-UA"/>
        </w:rPr>
        <w:t>.</w:t>
      </w:r>
      <w:r w:rsidRPr="00255826">
        <w:rPr>
          <w:rFonts w:ascii="Arial" w:hAnsi="Arial" w:cs="Arial"/>
          <w:color w:val="000000"/>
          <w:lang w:val="en-US"/>
        </w:rPr>
        <w:t>who</w:t>
      </w:r>
      <w:r w:rsidRPr="00A60AE1">
        <w:rPr>
          <w:rFonts w:ascii="Arial" w:hAnsi="Arial" w:cs="Arial"/>
          <w:color w:val="000000"/>
          <w:lang w:val="uk-UA"/>
        </w:rPr>
        <w:t>.</w:t>
      </w:r>
      <w:r w:rsidRPr="00255826">
        <w:rPr>
          <w:rFonts w:ascii="Arial" w:hAnsi="Arial" w:cs="Arial"/>
          <w:color w:val="000000"/>
          <w:lang w:val="en-US"/>
        </w:rPr>
        <w:t>int</w:t>
      </w:r>
      <w:r w:rsidRPr="00A60AE1">
        <w:rPr>
          <w:rFonts w:ascii="Arial" w:hAnsi="Arial" w:cs="Arial"/>
          <w:color w:val="000000"/>
          <w:lang w:val="uk-UA"/>
        </w:rPr>
        <w:t xml:space="preserve">) або </w:t>
      </w:r>
      <w:r w:rsidRPr="00255826">
        <w:rPr>
          <w:rFonts w:ascii="Arial" w:hAnsi="Arial" w:cs="Arial"/>
          <w:color w:val="000000"/>
          <w:lang w:val="uk-UA"/>
        </w:rPr>
        <w:t>їх</w:t>
      </w:r>
      <w:r w:rsidRPr="00A60AE1">
        <w:rPr>
          <w:rFonts w:ascii="Arial" w:hAnsi="Arial" w:cs="Arial"/>
          <w:color w:val="000000"/>
          <w:lang w:val="uk-UA"/>
        </w:rPr>
        <w:t xml:space="preserve"> можна придбати через прес-службу ВООЗ, Всесвітня організація охорони здоров'я, 20 </w:t>
      </w:r>
      <w:r w:rsidRPr="00255826">
        <w:rPr>
          <w:rFonts w:ascii="Arial" w:hAnsi="Arial" w:cs="Arial"/>
          <w:color w:val="000000"/>
          <w:lang w:val="en-US"/>
        </w:rPr>
        <w:t>Avenue</w:t>
      </w:r>
      <w:r w:rsidRPr="00A60AE1">
        <w:rPr>
          <w:rFonts w:ascii="Arial" w:hAnsi="Arial" w:cs="Arial"/>
          <w:color w:val="000000"/>
          <w:lang w:val="uk-UA"/>
        </w:rPr>
        <w:t xml:space="preserve"> </w:t>
      </w:r>
      <w:r w:rsidRPr="00255826">
        <w:rPr>
          <w:rFonts w:ascii="Arial" w:hAnsi="Arial" w:cs="Arial"/>
          <w:color w:val="000000"/>
          <w:lang w:val="en-US"/>
        </w:rPr>
        <w:t>Appia</w:t>
      </w:r>
      <w:r w:rsidRPr="00A60AE1">
        <w:rPr>
          <w:rFonts w:ascii="Arial" w:hAnsi="Arial" w:cs="Arial"/>
          <w:color w:val="000000"/>
          <w:lang w:val="uk-UA"/>
        </w:rPr>
        <w:t xml:space="preserve">, 1211 </w:t>
      </w:r>
      <w:r w:rsidRPr="00255826">
        <w:rPr>
          <w:rFonts w:ascii="Arial" w:hAnsi="Arial" w:cs="Arial"/>
          <w:color w:val="000000"/>
          <w:lang w:val="en-US"/>
        </w:rPr>
        <w:t>Geneva</w:t>
      </w:r>
      <w:r w:rsidRPr="00255826">
        <w:rPr>
          <w:rFonts w:ascii="Arial" w:hAnsi="Arial" w:cs="Arial"/>
          <w:color w:val="000000"/>
          <w:lang w:val="uk-UA"/>
        </w:rPr>
        <w:t xml:space="preserve"> (Женева)</w:t>
      </w:r>
      <w:r w:rsidRPr="00A60AE1">
        <w:rPr>
          <w:rFonts w:ascii="Arial" w:hAnsi="Arial" w:cs="Arial"/>
          <w:color w:val="000000"/>
          <w:lang w:val="uk-UA"/>
        </w:rPr>
        <w:t xml:space="preserve"> 27, </w:t>
      </w:r>
      <w:r w:rsidRPr="00255826">
        <w:rPr>
          <w:rFonts w:ascii="Arial" w:hAnsi="Arial" w:cs="Arial"/>
          <w:color w:val="000000"/>
          <w:lang w:val="en-US"/>
        </w:rPr>
        <w:t>Switzerland</w:t>
      </w:r>
      <w:r w:rsidRPr="00255826">
        <w:rPr>
          <w:rFonts w:ascii="Arial" w:hAnsi="Arial" w:cs="Arial"/>
          <w:color w:val="000000"/>
          <w:lang w:val="uk-UA"/>
        </w:rPr>
        <w:t xml:space="preserve"> (Швейцарія) </w:t>
      </w:r>
      <w:r w:rsidRPr="00A60AE1">
        <w:rPr>
          <w:rFonts w:ascii="Arial" w:hAnsi="Arial" w:cs="Arial"/>
          <w:color w:val="000000"/>
          <w:lang w:val="uk-UA"/>
        </w:rPr>
        <w:t>(т</w:t>
      </w:r>
      <w:r w:rsidRPr="00255826">
        <w:rPr>
          <w:rFonts w:ascii="Arial" w:hAnsi="Arial" w:cs="Arial"/>
          <w:color w:val="000000"/>
          <w:lang w:val="uk-UA"/>
        </w:rPr>
        <w:t>ел</w:t>
      </w:r>
      <w:r w:rsidRPr="00A60AE1">
        <w:rPr>
          <w:rFonts w:ascii="Arial" w:hAnsi="Arial" w:cs="Arial"/>
          <w:color w:val="000000"/>
          <w:lang w:val="uk-UA"/>
        </w:rPr>
        <w:t xml:space="preserve">.: +41 22 791 3264; факс: +41 22 791 4857; </w:t>
      </w:r>
      <w:r w:rsidRPr="00255826">
        <w:rPr>
          <w:rFonts w:ascii="Arial" w:hAnsi="Arial" w:cs="Arial"/>
          <w:color w:val="000000"/>
          <w:lang w:val="en-US"/>
        </w:rPr>
        <w:t>e</w:t>
      </w:r>
      <w:r w:rsidRPr="00A60AE1">
        <w:rPr>
          <w:rFonts w:ascii="Arial" w:hAnsi="Arial" w:cs="Arial"/>
          <w:color w:val="000000"/>
          <w:lang w:val="uk-UA"/>
        </w:rPr>
        <w:t>-</w:t>
      </w:r>
      <w:r w:rsidRPr="00255826">
        <w:rPr>
          <w:rFonts w:ascii="Arial" w:hAnsi="Arial" w:cs="Arial"/>
          <w:color w:val="000000"/>
          <w:lang w:val="en-US"/>
        </w:rPr>
        <w:t>mail</w:t>
      </w:r>
      <w:r w:rsidRPr="00A60AE1">
        <w:rPr>
          <w:rFonts w:ascii="Arial" w:hAnsi="Arial" w:cs="Arial"/>
          <w:color w:val="000000"/>
          <w:lang w:val="uk-UA"/>
        </w:rPr>
        <w:t xml:space="preserve">: </w:t>
      </w:r>
      <w:r w:rsidRPr="00255826">
        <w:rPr>
          <w:rFonts w:ascii="Arial" w:hAnsi="Arial" w:cs="Arial"/>
          <w:color w:val="000000"/>
          <w:lang w:val="en-US"/>
        </w:rPr>
        <w:t>bookorders</w:t>
      </w:r>
      <w:r w:rsidRPr="00A60AE1">
        <w:rPr>
          <w:rFonts w:ascii="Arial" w:hAnsi="Arial" w:cs="Arial"/>
          <w:color w:val="000000"/>
          <w:lang w:val="uk-UA"/>
        </w:rPr>
        <w:t>@</w:t>
      </w:r>
      <w:r w:rsidRPr="00255826">
        <w:rPr>
          <w:rFonts w:ascii="Arial" w:hAnsi="Arial" w:cs="Arial"/>
          <w:color w:val="000000"/>
          <w:lang w:val="en-US"/>
        </w:rPr>
        <w:t>who</w:t>
      </w:r>
      <w:r w:rsidRPr="00A60AE1">
        <w:rPr>
          <w:rFonts w:ascii="Arial" w:hAnsi="Arial" w:cs="Arial"/>
          <w:color w:val="000000"/>
          <w:lang w:val="uk-UA"/>
        </w:rPr>
        <w:t>.</w:t>
      </w:r>
      <w:r w:rsidRPr="00255826">
        <w:rPr>
          <w:rFonts w:ascii="Arial" w:hAnsi="Arial" w:cs="Arial"/>
          <w:color w:val="000000"/>
          <w:lang w:val="en-US"/>
        </w:rPr>
        <w:t>int</w:t>
      </w:r>
      <w:r w:rsidRPr="00A60AE1">
        <w:rPr>
          <w:rFonts w:ascii="Arial" w:hAnsi="Arial" w:cs="Arial"/>
          <w:color w:val="000000"/>
          <w:lang w:val="uk-UA"/>
        </w:rPr>
        <w:t>).</w:t>
      </w:r>
    </w:p>
    <w:p w14:paraId="14FCB5A1" w14:textId="77777777" w:rsidR="00E568A1" w:rsidRPr="00A60AE1" w:rsidRDefault="00E568A1" w:rsidP="005A2026">
      <w:pPr>
        <w:autoSpaceDE w:val="0"/>
        <w:autoSpaceDN w:val="0"/>
        <w:adjustRightInd w:val="0"/>
        <w:spacing w:after="0" w:line="240" w:lineRule="auto"/>
        <w:rPr>
          <w:rFonts w:ascii="Arial" w:hAnsi="Arial" w:cs="Arial"/>
          <w:color w:val="000000"/>
          <w:lang w:val="uk-UA"/>
        </w:rPr>
      </w:pPr>
    </w:p>
    <w:p w14:paraId="3DD08D9F" w14:textId="77777777" w:rsidR="00E568A1" w:rsidRPr="00255826" w:rsidRDefault="00E568A1" w:rsidP="0062637C">
      <w:pPr>
        <w:autoSpaceDE w:val="0"/>
        <w:autoSpaceDN w:val="0"/>
        <w:adjustRightInd w:val="0"/>
        <w:spacing w:after="0" w:line="240" w:lineRule="auto"/>
        <w:jc w:val="both"/>
        <w:rPr>
          <w:rFonts w:ascii="Arial" w:hAnsi="Arial" w:cs="Arial"/>
          <w:color w:val="000000"/>
        </w:rPr>
      </w:pPr>
      <w:r>
        <w:rPr>
          <w:rFonts w:ascii="Arial" w:hAnsi="Arial" w:cs="Arial"/>
          <w:color w:val="000000"/>
        </w:rPr>
        <w:t>Запити щодо дозволу на відтворення або переклад</w:t>
      </w:r>
      <w:r w:rsidRPr="00255826">
        <w:rPr>
          <w:rFonts w:ascii="Arial" w:hAnsi="Arial" w:cs="Arial"/>
          <w:color w:val="000000"/>
        </w:rPr>
        <w:t xml:space="preserve"> публікацій ВООЗ - для продажу або для некомерційного розповсюдження - слід надсилати на адресу </w:t>
      </w:r>
      <w:r>
        <w:rPr>
          <w:rFonts w:ascii="Arial" w:hAnsi="Arial" w:cs="Arial"/>
          <w:color w:val="000000"/>
          <w:lang w:val="uk-UA"/>
        </w:rPr>
        <w:t>Прес-служби ВООЗ</w:t>
      </w:r>
      <w:r>
        <w:rPr>
          <w:rFonts w:ascii="Arial" w:hAnsi="Arial" w:cs="Arial"/>
          <w:color w:val="000000"/>
        </w:rPr>
        <w:t xml:space="preserve"> через веб-сайт ВООЗ</w:t>
      </w:r>
      <w:r>
        <w:rPr>
          <w:rFonts w:ascii="Arial" w:hAnsi="Arial" w:cs="Arial"/>
          <w:color w:val="000000"/>
          <w:lang w:val="uk-UA"/>
        </w:rPr>
        <w:t xml:space="preserve"> </w:t>
      </w:r>
      <w:r w:rsidRPr="00255826">
        <w:rPr>
          <w:rFonts w:ascii="Arial" w:hAnsi="Arial" w:cs="Arial"/>
          <w:color w:val="000000"/>
        </w:rPr>
        <w:t>(</w:t>
      </w:r>
      <w:r w:rsidRPr="00255826">
        <w:rPr>
          <w:rFonts w:ascii="Arial" w:hAnsi="Arial" w:cs="Arial"/>
          <w:color w:val="000000"/>
          <w:lang w:val="en-US"/>
        </w:rPr>
        <w:t>www</w:t>
      </w:r>
      <w:r w:rsidRPr="00255826">
        <w:rPr>
          <w:rFonts w:ascii="Arial" w:hAnsi="Arial" w:cs="Arial"/>
          <w:color w:val="000000"/>
        </w:rPr>
        <w:t>.</w:t>
      </w:r>
      <w:r w:rsidRPr="00255826">
        <w:rPr>
          <w:rFonts w:ascii="Arial" w:hAnsi="Arial" w:cs="Arial"/>
          <w:color w:val="000000"/>
          <w:lang w:val="en-US"/>
        </w:rPr>
        <w:t>who</w:t>
      </w:r>
      <w:r w:rsidRPr="00255826">
        <w:rPr>
          <w:rFonts w:ascii="Arial" w:hAnsi="Arial" w:cs="Arial"/>
          <w:color w:val="000000"/>
        </w:rPr>
        <w:t>.</w:t>
      </w:r>
      <w:r w:rsidRPr="00255826">
        <w:rPr>
          <w:rFonts w:ascii="Arial" w:hAnsi="Arial" w:cs="Arial"/>
          <w:color w:val="000000"/>
          <w:lang w:val="en-US"/>
        </w:rPr>
        <w:t>int</w:t>
      </w:r>
      <w:r w:rsidRPr="00255826">
        <w:rPr>
          <w:rFonts w:ascii="Arial" w:hAnsi="Arial" w:cs="Arial"/>
          <w:color w:val="000000"/>
        </w:rPr>
        <w:t>/</w:t>
      </w:r>
      <w:r w:rsidRPr="00255826">
        <w:rPr>
          <w:rFonts w:ascii="Arial" w:hAnsi="Arial" w:cs="Arial"/>
          <w:color w:val="000000"/>
          <w:lang w:val="en-US"/>
        </w:rPr>
        <w:t>about</w:t>
      </w:r>
      <w:r w:rsidRPr="00255826">
        <w:rPr>
          <w:rFonts w:ascii="Arial" w:hAnsi="Arial" w:cs="Arial"/>
          <w:color w:val="000000"/>
        </w:rPr>
        <w:t>/</w:t>
      </w:r>
      <w:r w:rsidRPr="00255826">
        <w:rPr>
          <w:rFonts w:ascii="Arial" w:hAnsi="Arial" w:cs="Arial"/>
          <w:color w:val="000000"/>
          <w:lang w:val="en-US"/>
        </w:rPr>
        <w:t>licensing</w:t>
      </w:r>
      <w:r w:rsidRPr="00255826">
        <w:rPr>
          <w:rFonts w:ascii="Arial" w:hAnsi="Arial" w:cs="Arial"/>
          <w:color w:val="000000"/>
        </w:rPr>
        <w:t>/</w:t>
      </w:r>
      <w:r w:rsidRPr="00255826">
        <w:rPr>
          <w:rFonts w:ascii="Arial" w:hAnsi="Arial" w:cs="Arial"/>
          <w:color w:val="000000"/>
          <w:lang w:val="en-US"/>
        </w:rPr>
        <w:t>copyright</w:t>
      </w:r>
      <w:r w:rsidRPr="00255826">
        <w:rPr>
          <w:rFonts w:ascii="Arial" w:hAnsi="Arial" w:cs="Arial"/>
          <w:color w:val="000000"/>
        </w:rPr>
        <w:t>_</w:t>
      </w:r>
      <w:r w:rsidRPr="00255826">
        <w:rPr>
          <w:rFonts w:ascii="Arial" w:hAnsi="Arial" w:cs="Arial"/>
          <w:color w:val="000000"/>
          <w:lang w:val="en-US"/>
        </w:rPr>
        <w:t>form</w:t>
      </w:r>
      <w:r w:rsidRPr="00255826">
        <w:rPr>
          <w:rFonts w:ascii="Arial" w:hAnsi="Arial" w:cs="Arial"/>
          <w:color w:val="000000"/>
        </w:rPr>
        <w:t>/</w:t>
      </w:r>
      <w:r w:rsidRPr="00255826">
        <w:rPr>
          <w:rFonts w:ascii="Arial" w:hAnsi="Arial" w:cs="Arial"/>
          <w:color w:val="000000"/>
          <w:lang w:val="en-US"/>
        </w:rPr>
        <w:t>en</w:t>
      </w:r>
      <w:r w:rsidRPr="00255826">
        <w:rPr>
          <w:rFonts w:ascii="Arial" w:hAnsi="Arial" w:cs="Arial"/>
          <w:color w:val="000000"/>
        </w:rPr>
        <w:t>/</w:t>
      </w:r>
      <w:r w:rsidRPr="00255826">
        <w:rPr>
          <w:rFonts w:ascii="Arial" w:hAnsi="Arial" w:cs="Arial"/>
          <w:color w:val="000000"/>
          <w:lang w:val="en-US"/>
        </w:rPr>
        <w:t>index</w:t>
      </w:r>
      <w:r w:rsidRPr="00255826">
        <w:rPr>
          <w:rFonts w:ascii="Arial" w:hAnsi="Arial" w:cs="Arial"/>
          <w:color w:val="000000"/>
        </w:rPr>
        <w:t>.</w:t>
      </w:r>
      <w:r w:rsidRPr="00255826">
        <w:rPr>
          <w:rFonts w:ascii="Arial" w:hAnsi="Arial" w:cs="Arial"/>
          <w:color w:val="000000"/>
          <w:lang w:val="en-US"/>
        </w:rPr>
        <w:t>html</w:t>
      </w:r>
      <w:r w:rsidRPr="00255826">
        <w:rPr>
          <w:rFonts w:ascii="Arial" w:hAnsi="Arial" w:cs="Arial"/>
          <w:color w:val="000000"/>
        </w:rPr>
        <w:t>).</w:t>
      </w:r>
    </w:p>
    <w:p w14:paraId="04D5E615" w14:textId="77777777" w:rsidR="00E568A1" w:rsidRPr="00255826" w:rsidRDefault="00E568A1" w:rsidP="0037724F">
      <w:pPr>
        <w:autoSpaceDE w:val="0"/>
        <w:autoSpaceDN w:val="0"/>
        <w:adjustRightInd w:val="0"/>
        <w:spacing w:after="0" w:line="240" w:lineRule="auto"/>
        <w:jc w:val="both"/>
        <w:rPr>
          <w:rFonts w:ascii="Arial" w:hAnsi="Arial" w:cs="Arial"/>
          <w:color w:val="000000"/>
        </w:rPr>
      </w:pPr>
    </w:p>
    <w:p w14:paraId="1CE85486" w14:textId="3C3EF5F3" w:rsidR="00E568A1" w:rsidRPr="00255826" w:rsidRDefault="00E568A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Використа</w:t>
      </w:r>
      <w:r w:rsidRPr="00255826">
        <w:rPr>
          <w:rFonts w:ascii="Arial" w:hAnsi="Arial" w:cs="Arial"/>
          <w:color w:val="000000"/>
          <w:lang w:val="uk-UA"/>
        </w:rPr>
        <w:t xml:space="preserve">ні позначення та презентація матеріалу в цій публікації не означають вираження будь-якої думки </w:t>
      </w:r>
      <w:r>
        <w:rPr>
          <w:rFonts w:ascii="Arial" w:hAnsi="Arial" w:cs="Arial"/>
          <w:color w:val="000000"/>
          <w:lang w:val="uk-UA"/>
        </w:rPr>
        <w:t xml:space="preserve">з боку </w:t>
      </w:r>
      <w:r w:rsidRPr="00255826">
        <w:rPr>
          <w:rFonts w:ascii="Arial" w:hAnsi="Arial" w:cs="Arial"/>
          <w:color w:val="000000"/>
          <w:lang w:val="uk-UA"/>
        </w:rPr>
        <w:t xml:space="preserve">Всесвітньої організації охорони здоров'я щодо правового статусу будь-якої країни, </w:t>
      </w:r>
      <w:r w:rsidR="00F729F4">
        <w:rPr>
          <w:rFonts w:ascii="Arial" w:hAnsi="Arial" w:cs="Arial"/>
          <w:color w:val="000000"/>
          <w:lang w:val="uk-UA"/>
        </w:rPr>
        <w:t xml:space="preserve">території, міста, </w:t>
      </w:r>
      <w:r>
        <w:rPr>
          <w:rFonts w:ascii="Arial" w:hAnsi="Arial" w:cs="Arial"/>
          <w:color w:val="000000"/>
          <w:lang w:val="uk-UA"/>
        </w:rPr>
        <w:t>району чи їх</w:t>
      </w:r>
      <w:r w:rsidRPr="00255826">
        <w:rPr>
          <w:rFonts w:ascii="Arial" w:hAnsi="Arial" w:cs="Arial"/>
          <w:color w:val="000000"/>
          <w:lang w:val="uk-UA"/>
        </w:rPr>
        <w:t xml:space="preserve"> органів, або стосовно делімітація її кордонів</w:t>
      </w:r>
      <w:r>
        <w:rPr>
          <w:rFonts w:ascii="Arial" w:hAnsi="Arial" w:cs="Arial"/>
          <w:color w:val="000000"/>
          <w:lang w:val="uk-UA"/>
        </w:rPr>
        <w:t xml:space="preserve"> або меж</w:t>
      </w:r>
      <w:r w:rsidRPr="00255826">
        <w:rPr>
          <w:rFonts w:ascii="Arial" w:hAnsi="Arial" w:cs="Arial"/>
          <w:color w:val="000000"/>
          <w:lang w:val="uk-UA"/>
        </w:rPr>
        <w:t xml:space="preserve">. Пунктирні лінії на картах являють собою приблизні </w:t>
      </w:r>
      <w:r>
        <w:rPr>
          <w:rFonts w:ascii="Arial" w:hAnsi="Arial" w:cs="Arial"/>
          <w:color w:val="000000"/>
          <w:lang w:val="uk-UA"/>
        </w:rPr>
        <w:t>прикордонні лінії</w:t>
      </w:r>
      <w:r w:rsidRPr="00255826">
        <w:rPr>
          <w:rFonts w:ascii="Arial" w:hAnsi="Arial" w:cs="Arial"/>
          <w:color w:val="000000"/>
          <w:lang w:val="uk-UA"/>
        </w:rPr>
        <w:t xml:space="preserve">, </w:t>
      </w:r>
      <w:r>
        <w:rPr>
          <w:rFonts w:ascii="Arial" w:hAnsi="Arial" w:cs="Arial"/>
          <w:color w:val="000000"/>
          <w:lang w:val="uk-UA"/>
        </w:rPr>
        <w:t>щодо</w:t>
      </w:r>
      <w:r w:rsidRPr="00255826">
        <w:rPr>
          <w:rFonts w:ascii="Arial" w:hAnsi="Arial" w:cs="Arial"/>
          <w:color w:val="000000"/>
          <w:lang w:val="uk-UA"/>
        </w:rPr>
        <w:t xml:space="preserve"> яких </w:t>
      </w:r>
      <w:r>
        <w:rPr>
          <w:rFonts w:ascii="Arial" w:hAnsi="Arial" w:cs="Arial"/>
          <w:color w:val="000000"/>
          <w:lang w:val="uk-UA"/>
        </w:rPr>
        <w:t xml:space="preserve">можливо </w:t>
      </w:r>
      <w:r w:rsidRPr="00255826">
        <w:rPr>
          <w:rFonts w:ascii="Arial" w:hAnsi="Arial" w:cs="Arial"/>
          <w:color w:val="000000"/>
          <w:lang w:val="uk-UA"/>
        </w:rPr>
        <w:t xml:space="preserve">ще не </w:t>
      </w:r>
      <w:r>
        <w:rPr>
          <w:rFonts w:ascii="Arial" w:hAnsi="Arial" w:cs="Arial"/>
          <w:color w:val="000000"/>
          <w:lang w:val="uk-UA"/>
        </w:rPr>
        <w:t>має</w:t>
      </w:r>
      <w:r w:rsidRPr="00255826">
        <w:rPr>
          <w:rFonts w:ascii="Arial" w:hAnsi="Arial" w:cs="Arial"/>
          <w:color w:val="000000"/>
          <w:lang w:val="uk-UA"/>
        </w:rPr>
        <w:t xml:space="preserve"> повної згод</w:t>
      </w:r>
      <w:r>
        <w:rPr>
          <w:rFonts w:ascii="Arial" w:hAnsi="Arial" w:cs="Arial"/>
          <w:color w:val="000000"/>
          <w:lang w:val="uk-UA"/>
        </w:rPr>
        <w:t>и.</w:t>
      </w:r>
    </w:p>
    <w:p w14:paraId="17FF688E" w14:textId="77777777" w:rsidR="00E568A1" w:rsidRPr="00255826" w:rsidRDefault="00E568A1" w:rsidP="0062637C">
      <w:pPr>
        <w:shd w:val="clear" w:color="auto" w:fill="FFFFFF"/>
        <w:spacing w:after="0" w:line="240" w:lineRule="auto"/>
        <w:rPr>
          <w:rFonts w:ascii="Arial" w:hAnsi="Arial" w:cs="Arial"/>
          <w:color w:val="777777"/>
          <w:sz w:val="20"/>
          <w:szCs w:val="20"/>
          <w:lang w:val="uk-UA" w:eastAsia="ru-RU"/>
        </w:rPr>
      </w:pPr>
    </w:p>
    <w:p w14:paraId="3C5ADB30" w14:textId="4DBD2831" w:rsidR="00E568A1" w:rsidRPr="00EF4F3E" w:rsidRDefault="00E568A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Згадування</w:t>
      </w:r>
      <w:r w:rsidRPr="00EF4F3E">
        <w:rPr>
          <w:rFonts w:ascii="Arial" w:hAnsi="Arial" w:cs="Arial"/>
          <w:color w:val="000000"/>
          <w:lang w:val="uk-UA"/>
        </w:rPr>
        <w:t xml:space="preserve"> конкретних компаній чи продукції деяких виробників не означає, що вони схвалені або рекомендовані Всесвітньою організацією охорони здоров'я</w:t>
      </w:r>
      <w:r>
        <w:rPr>
          <w:rFonts w:ascii="Arial" w:hAnsi="Arial" w:cs="Arial"/>
          <w:color w:val="000000"/>
          <w:lang w:val="uk-UA"/>
        </w:rPr>
        <w:t xml:space="preserve"> і їм надається перевага у порівнянні з</w:t>
      </w:r>
      <w:r w:rsidRPr="00EF4F3E">
        <w:rPr>
          <w:rFonts w:ascii="Arial" w:hAnsi="Arial" w:cs="Arial"/>
          <w:color w:val="000000"/>
          <w:lang w:val="uk-UA"/>
        </w:rPr>
        <w:t xml:space="preserve"> іншими аналогічними, </w:t>
      </w:r>
      <w:r w:rsidR="00CF4EFB">
        <w:rPr>
          <w:rFonts w:ascii="Arial" w:hAnsi="Arial" w:cs="Arial"/>
          <w:color w:val="000000"/>
          <w:lang w:val="uk-UA"/>
        </w:rPr>
        <w:t>які не згадуються. Помилки та пропуски виключені</w:t>
      </w:r>
      <w:r w:rsidRPr="00EF4F3E">
        <w:rPr>
          <w:rFonts w:ascii="Arial" w:hAnsi="Arial" w:cs="Arial"/>
          <w:color w:val="000000"/>
          <w:lang w:val="uk-UA"/>
        </w:rPr>
        <w:t>, назви пате</w:t>
      </w:r>
      <w:r w:rsidR="00CF4EFB">
        <w:rPr>
          <w:rFonts w:ascii="Arial" w:hAnsi="Arial" w:cs="Arial"/>
          <w:color w:val="000000"/>
          <w:lang w:val="uk-UA"/>
        </w:rPr>
        <w:t>нтованих продуктів написані з початкових великих літер</w:t>
      </w:r>
      <w:r w:rsidRPr="00EF4F3E">
        <w:rPr>
          <w:rFonts w:ascii="Arial" w:hAnsi="Arial" w:cs="Arial"/>
          <w:color w:val="000000"/>
          <w:lang w:val="uk-UA"/>
        </w:rPr>
        <w:t>.</w:t>
      </w:r>
    </w:p>
    <w:p w14:paraId="18846C35" w14:textId="77777777" w:rsidR="00E568A1" w:rsidRPr="00255826" w:rsidRDefault="00E568A1" w:rsidP="0037724F">
      <w:pPr>
        <w:autoSpaceDE w:val="0"/>
        <w:autoSpaceDN w:val="0"/>
        <w:adjustRightInd w:val="0"/>
        <w:spacing w:after="0" w:line="240" w:lineRule="auto"/>
        <w:jc w:val="both"/>
        <w:rPr>
          <w:rFonts w:ascii="Arial" w:hAnsi="Arial" w:cs="Arial"/>
          <w:color w:val="000000"/>
          <w:lang w:val="en-US"/>
        </w:rPr>
      </w:pPr>
    </w:p>
    <w:p w14:paraId="2B37E394" w14:textId="1386530A" w:rsidR="00E568A1" w:rsidRPr="00D55B21" w:rsidRDefault="00E568A1" w:rsidP="0037724F">
      <w:pPr>
        <w:autoSpaceDE w:val="0"/>
        <w:autoSpaceDN w:val="0"/>
        <w:adjustRightInd w:val="0"/>
        <w:spacing w:after="0" w:line="240" w:lineRule="auto"/>
        <w:jc w:val="both"/>
        <w:rPr>
          <w:rFonts w:ascii="Arial" w:hAnsi="Arial" w:cs="Arial"/>
          <w:color w:val="000000"/>
          <w:lang w:val="uk-UA"/>
        </w:rPr>
      </w:pPr>
      <w:r w:rsidRPr="00255826">
        <w:rPr>
          <w:rFonts w:ascii="Arial" w:hAnsi="Arial" w:cs="Arial"/>
          <w:color w:val="000000"/>
          <w:lang w:val="en-US"/>
        </w:rPr>
        <w:t xml:space="preserve">Всесвітня організація охорони здоров'я прийняла всі </w:t>
      </w:r>
      <w:r>
        <w:rPr>
          <w:rFonts w:ascii="Arial" w:hAnsi="Arial" w:cs="Arial"/>
          <w:color w:val="000000"/>
          <w:lang w:val="uk-UA"/>
        </w:rPr>
        <w:t>можливі</w:t>
      </w:r>
      <w:r w:rsidR="00D55B21">
        <w:rPr>
          <w:rFonts w:ascii="Arial" w:hAnsi="Arial" w:cs="Arial"/>
          <w:color w:val="000000"/>
          <w:lang w:val="en-US"/>
        </w:rPr>
        <w:t xml:space="preserve"> </w:t>
      </w:r>
      <w:r w:rsidRPr="00255826">
        <w:rPr>
          <w:rFonts w:ascii="Arial" w:hAnsi="Arial" w:cs="Arial"/>
          <w:color w:val="000000"/>
          <w:lang w:val="en-US"/>
        </w:rPr>
        <w:t>заходи для пере</w:t>
      </w:r>
      <w:r>
        <w:rPr>
          <w:rFonts w:ascii="Arial" w:hAnsi="Arial" w:cs="Arial"/>
          <w:color w:val="000000"/>
          <w:lang w:val="en-US"/>
        </w:rPr>
        <w:t>вірки інформації, що міститься</w:t>
      </w:r>
      <w:r>
        <w:rPr>
          <w:rFonts w:ascii="Arial" w:hAnsi="Arial" w:cs="Arial"/>
          <w:color w:val="000000"/>
          <w:lang w:val="uk-UA"/>
        </w:rPr>
        <w:t xml:space="preserve"> у</w:t>
      </w:r>
      <w:r w:rsidRPr="00255826">
        <w:rPr>
          <w:rFonts w:ascii="Arial" w:hAnsi="Arial" w:cs="Arial"/>
          <w:color w:val="000000"/>
          <w:lang w:val="en-US"/>
        </w:rPr>
        <w:t xml:space="preserve"> цій публікації. </w:t>
      </w:r>
      <w:r w:rsidRPr="00255826">
        <w:rPr>
          <w:rFonts w:ascii="Arial" w:hAnsi="Arial" w:cs="Arial"/>
          <w:color w:val="000000"/>
        </w:rPr>
        <w:t>Проте опублікований матеріал поширюється бе</w:t>
      </w:r>
      <w:r w:rsidR="00D55B21">
        <w:rPr>
          <w:rFonts w:ascii="Arial" w:hAnsi="Arial" w:cs="Arial"/>
          <w:color w:val="000000"/>
        </w:rPr>
        <w:t>з будь-яких гарантій, як прямих так і непрямих</w:t>
      </w:r>
      <w:r w:rsidRPr="00255826">
        <w:rPr>
          <w:rFonts w:ascii="Arial" w:hAnsi="Arial" w:cs="Arial"/>
          <w:color w:val="000000"/>
        </w:rPr>
        <w:t xml:space="preserve">. Відповідальність за тлумачення та </w:t>
      </w:r>
      <w:r w:rsidR="007D3500">
        <w:rPr>
          <w:rFonts w:ascii="Arial" w:hAnsi="Arial" w:cs="Arial"/>
          <w:color w:val="000000"/>
        </w:rPr>
        <w:t>застосування</w:t>
      </w:r>
      <w:r w:rsidRPr="00255826">
        <w:rPr>
          <w:rFonts w:ascii="Arial" w:hAnsi="Arial" w:cs="Arial"/>
          <w:color w:val="000000"/>
        </w:rPr>
        <w:t xml:space="preserve"> матеріалу лежить на читач</w:t>
      </w:r>
      <w:r w:rsidRPr="00255826">
        <w:rPr>
          <w:rFonts w:ascii="Arial" w:hAnsi="Arial" w:cs="Arial"/>
          <w:color w:val="000000"/>
          <w:lang w:val="uk-UA"/>
        </w:rPr>
        <w:t>ев</w:t>
      </w:r>
      <w:r w:rsidRPr="00255826">
        <w:rPr>
          <w:rFonts w:ascii="Arial" w:hAnsi="Arial" w:cs="Arial"/>
          <w:color w:val="000000"/>
        </w:rPr>
        <w:t xml:space="preserve">і. В жодному випадку Всесвітня організація </w:t>
      </w:r>
      <w:r w:rsidRPr="00255826">
        <w:rPr>
          <w:rFonts w:ascii="Arial" w:hAnsi="Arial" w:cs="Arial"/>
          <w:color w:val="000000"/>
        </w:rPr>
        <w:lastRenderedPageBreak/>
        <w:t xml:space="preserve">охорони здоров'я не несе відповідальності за збитки, що виникли внаслідок </w:t>
      </w:r>
      <w:r w:rsidR="007D3500">
        <w:rPr>
          <w:rFonts w:ascii="Arial" w:hAnsi="Arial" w:cs="Arial"/>
          <w:color w:val="000000"/>
        </w:rPr>
        <w:t>застосування</w:t>
      </w:r>
      <w:r>
        <w:rPr>
          <w:rFonts w:ascii="Arial" w:hAnsi="Arial" w:cs="Arial"/>
          <w:color w:val="000000"/>
          <w:lang w:val="uk-UA"/>
        </w:rPr>
        <w:t xml:space="preserve"> матеріалу</w:t>
      </w:r>
      <w:r w:rsidRPr="00255826">
        <w:rPr>
          <w:rFonts w:ascii="Arial" w:hAnsi="Arial" w:cs="Arial"/>
          <w:color w:val="000000"/>
        </w:rPr>
        <w:t>.</w:t>
      </w:r>
    </w:p>
    <w:p w14:paraId="1A2272B2" w14:textId="77777777" w:rsidR="00E568A1" w:rsidRPr="00255826" w:rsidRDefault="00E568A1" w:rsidP="0037724F">
      <w:pPr>
        <w:autoSpaceDE w:val="0"/>
        <w:autoSpaceDN w:val="0"/>
        <w:adjustRightInd w:val="0"/>
        <w:spacing w:after="0" w:line="240" w:lineRule="auto"/>
        <w:jc w:val="both"/>
        <w:rPr>
          <w:rFonts w:ascii="Arial" w:hAnsi="Arial" w:cs="Arial"/>
          <w:color w:val="000000"/>
        </w:rPr>
      </w:pPr>
    </w:p>
    <w:p w14:paraId="3696C68B" w14:textId="77777777" w:rsidR="00E568A1" w:rsidRPr="00255826" w:rsidRDefault="00E568A1" w:rsidP="009B51D9">
      <w:pPr>
        <w:autoSpaceDE w:val="0"/>
        <w:autoSpaceDN w:val="0"/>
        <w:adjustRightInd w:val="0"/>
        <w:spacing w:after="0" w:line="240" w:lineRule="auto"/>
        <w:jc w:val="both"/>
        <w:outlineLvl w:val="0"/>
        <w:rPr>
          <w:rFonts w:ascii="Arial" w:hAnsi="Arial" w:cs="Arial"/>
          <w:color w:val="000000"/>
        </w:rPr>
      </w:pPr>
      <w:r w:rsidRPr="00255826">
        <w:rPr>
          <w:rFonts w:ascii="Arial" w:hAnsi="Arial" w:cs="Arial"/>
          <w:color w:val="000000"/>
        </w:rPr>
        <w:t xml:space="preserve">Надруковано Службами </w:t>
      </w:r>
      <w:r>
        <w:rPr>
          <w:rFonts w:ascii="Arial" w:hAnsi="Arial" w:cs="Arial"/>
          <w:color w:val="000000"/>
          <w:lang w:val="uk-UA"/>
        </w:rPr>
        <w:t>підготовки</w:t>
      </w:r>
      <w:r w:rsidRPr="00255826">
        <w:rPr>
          <w:rFonts w:ascii="Arial" w:hAnsi="Arial" w:cs="Arial"/>
          <w:color w:val="000000"/>
        </w:rPr>
        <w:t xml:space="preserve"> документів ВООЗ, Женева, Швейцарія</w:t>
      </w:r>
    </w:p>
    <w:p w14:paraId="514B9EF5" w14:textId="77777777" w:rsidR="00E568A1" w:rsidRPr="0014339A" w:rsidRDefault="00E568A1" w:rsidP="009B51D9">
      <w:pPr>
        <w:autoSpaceDE w:val="0"/>
        <w:autoSpaceDN w:val="0"/>
        <w:adjustRightInd w:val="0"/>
        <w:spacing w:after="0" w:line="240" w:lineRule="auto"/>
        <w:jc w:val="both"/>
        <w:outlineLvl w:val="0"/>
        <w:rPr>
          <w:rFonts w:ascii="Arial" w:hAnsi="Arial" w:cs="Arial"/>
          <w:b/>
          <w:color w:val="000000"/>
        </w:rPr>
      </w:pPr>
      <w:r w:rsidRPr="0014339A">
        <w:rPr>
          <w:rFonts w:ascii="Arial" w:hAnsi="Arial" w:cs="Arial"/>
          <w:b/>
          <w:color w:val="000000"/>
        </w:rPr>
        <w:t>WHO / HTM / TB / 2013.6</w:t>
      </w:r>
    </w:p>
    <w:p w14:paraId="5D1DFC63" w14:textId="77777777" w:rsidR="00A60AE1" w:rsidRPr="00713994" w:rsidRDefault="00E568A1" w:rsidP="009B51D9">
      <w:pPr>
        <w:autoSpaceDE w:val="0"/>
        <w:autoSpaceDN w:val="0"/>
        <w:adjustRightInd w:val="0"/>
        <w:spacing w:after="0" w:line="240" w:lineRule="auto"/>
        <w:jc w:val="both"/>
        <w:outlineLvl w:val="0"/>
        <w:rPr>
          <w:rFonts w:ascii="Arial" w:hAnsi="Arial" w:cs="Arial"/>
          <w:color w:val="000000"/>
          <w:lang w:val="uk-UA"/>
        </w:rPr>
      </w:pPr>
      <w:r w:rsidRPr="00255826">
        <w:rPr>
          <w:rFonts w:ascii="Arial" w:hAnsi="Arial" w:cs="Arial"/>
          <w:color w:val="000000"/>
        </w:rPr>
        <w:t xml:space="preserve">Редагування та дизайн </w:t>
      </w:r>
      <w:r w:rsidRPr="00255826">
        <w:rPr>
          <w:rFonts w:ascii="Arial" w:hAnsi="Arial" w:cs="Arial"/>
          <w:color w:val="000000"/>
          <w:lang w:val="uk-UA"/>
        </w:rPr>
        <w:t xml:space="preserve">здійснено компанією </w:t>
      </w:r>
      <w:r w:rsidRPr="00255826">
        <w:rPr>
          <w:rFonts w:ascii="Arial" w:hAnsi="Arial" w:cs="Arial"/>
          <w:color w:val="000000"/>
          <w:lang w:val="en-US"/>
        </w:rPr>
        <w:t>In</w:t>
      </w:r>
      <w:r>
        <w:rPr>
          <w:rFonts w:ascii="Arial" w:hAnsi="Arial" w:cs="Arial"/>
          <w:color w:val="000000"/>
          <w:lang w:val="en-US"/>
        </w:rPr>
        <w:t>is</w:t>
      </w:r>
      <w:r w:rsidRPr="00A60AE1">
        <w:rPr>
          <w:rFonts w:ascii="Arial" w:hAnsi="Arial" w:cs="Arial"/>
          <w:color w:val="000000"/>
          <w:lang w:val="uk-UA"/>
        </w:rPr>
        <w:t xml:space="preserve"> </w:t>
      </w:r>
      <w:r w:rsidRPr="00255826">
        <w:rPr>
          <w:rFonts w:ascii="Arial" w:hAnsi="Arial" w:cs="Arial"/>
          <w:color w:val="000000"/>
          <w:lang w:val="uk-UA"/>
        </w:rPr>
        <w:t>Комунікації</w:t>
      </w:r>
      <w:r w:rsidRPr="00A60AE1">
        <w:rPr>
          <w:rFonts w:ascii="Arial" w:hAnsi="Arial" w:cs="Arial"/>
          <w:color w:val="000000"/>
          <w:lang w:val="uk-UA"/>
        </w:rPr>
        <w:t xml:space="preserve"> - </w:t>
      </w:r>
      <w:r w:rsidRPr="00255826">
        <w:rPr>
          <w:rFonts w:ascii="Arial" w:hAnsi="Arial" w:cs="Arial"/>
          <w:color w:val="000000"/>
          <w:lang w:val="en-US"/>
        </w:rPr>
        <w:t>www</w:t>
      </w:r>
      <w:r w:rsidRPr="00A60AE1">
        <w:rPr>
          <w:rFonts w:ascii="Arial" w:hAnsi="Arial" w:cs="Arial"/>
          <w:color w:val="000000"/>
          <w:lang w:val="uk-UA"/>
        </w:rPr>
        <w:t>.</w:t>
      </w:r>
      <w:r w:rsidRPr="00255826">
        <w:rPr>
          <w:rFonts w:ascii="Arial" w:hAnsi="Arial" w:cs="Arial"/>
          <w:color w:val="000000"/>
          <w:lang w:val="en-US"/>
        </w:rPr>
        <w:t>iniscommunication</w:t>
      </w:r>
      <w:r w:rsidRPr="00A60AE1">
        <w:rPr>
          <w:rFonts w:ascii="Arial" w:hAnsi="Arial" w:cs="Arial"/>
          <w:color w:val="000000"/>
          <w:lang w:val="uk-UA"/>
        </w:rPr>
        <w:t>.</w:t>
      </w:r>
      <w:r w:rsidRPr="00255826">
        <w:rPr>
          <w:rFonts w:ascii="Arial" w:hAnsi="Arial" w:cs="Arial"/>
          <w:color w:val="000000"/>
          <w:lang w:val="en-US"/>
        </w:rPr>
        <w:t>com</w:t>
      </w:r>
    </w:p>
    <w:p w14:paraId="53E0F57E"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7836BE68"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6733A19A"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42CB7AAB"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132DD747"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60A87A82"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3A70C483"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132FB607"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2866D541"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0C0FE69F"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590F2A97"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35E1D1FA"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3341259C"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654C9794"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465FF4AA"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6A39E6D0"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4A589739" w14:textId="77777777" w:rsidR="00386451" w:rsidRDefault="00386451" w:rsidP="0037724F">
      <w:pPr>
        <w:autoSpaceDE w:val="0"/>
        <w:autoSpaceDN w:val="0"/>
        <w:adjustRightInd w:val="0"/>
        <w:spacing w:after="0" w:line="240" w:lineRule="auto"/>
        <w:jc w:val="both"/>
        <w:rPr>
          <w:rFonts w:ascii="Arial" w:hAnsi="Arial" w:cs="Arial"/>
          <w:b/>
          <w:bCs/>
          <w:color w:val="000000"/>
          <w:sz w:val="48"/>
          <w:szCs w:val="48"/>
          <w:lang w:val="uk-UA"/>
        </w:rPr>
      </w:pPr>
    </w:p>
    <w:p w14:paraId="74C87108" w14:textId="77777777" w:rsidR="006A5516" w:rsidRDefault="006A5516" w:rsidP="0037724F">
      <w:pPr>
        <w:autoSpaceDE w:val="0"/>
        <w:autoSpaceDN w:val="0"/>
        <w:adjustRightInd w:val="0"/>
        <w:spacing w:after="0" w:line="240" w:lineRule="auto"/>
        <w:jc w:val="both"/>
        <w:rPr>
          <w:rFonts w:ascii="Arial" w:hAnsi="Arial" w:cs="Arial"/>
          <w:b/>
          <w:bCs/>
          <w:color w:val="000000"/>
          <w:sz w:val="48"/>
          <w:szCs w:val="48"/>
          <w:lang w:val="uk-UA"/>
        </w:rPr>
      </w:pPr>
    </w:p>
    <w:p w14:paraId="48A5341F" w14:textId="77777777" w:rsidR="006A5516" w:rsidRDefault="006A5516" w:rsidP="0037724F">
      <w:pPr>
        <w:autoSpaceDE w:val="0"/>
        <w:autoSpaceDN w:val="0"/>
        <w:adjustRightInd w:val="0"/>
        <w:spacing w:after="0" w:line="240" w:lineRule="auto"/>
        <w:jc w:val="both"/>
        <w:rPr>
          <w:rFonts w:ascii="Arial" w:hAnsi="Arial" w:cs="Arial"/>
          <w:b/>
          <w:bCs/>
          <w:color w:val="000000"/>
          <w:sz w:val="48"/>
          <w:szCs w:val="48"/>
          <w:lang w:val="uk-UA"/>
        </w:rPr>
      </w:pPr>
    </w:p>
    <w:p w14:paraId="04CD589D" w14:textId="77777777" w:rsidR="006A5516" w:rsidRDefault="006A5516" w:rsidP="0037724F">
      <w:pPr>
        <w:autoSpaceDE w:val="0"/>
        <w:autoSpaceDN w:val="0"/>
        <w:adjustRightInd w:val="0"/>
        <w:spacing w:after="0" w:line="240" w:lineRule="auto"/>
        <w:jc w:val="both"/>
        <w:rPr>
          <w:rFonts w:ascii="Arial" w:hAnsi="Arial" w:cs="Arial"/>
          <w:b/>
          <w:bCs/>
          <w:color w:val="000000"/>
          <w:sz w:val="48"/>
          <w:szCs w:val="48"/>
          <w:lang w:val="uk-UA"/>
        </w:rPr>
      </w:pPr>
    </w:p>
    <w:p w14:paraId="54CD4039" w14:textId="77777777" w:rsidR="006A5516" w:rsidRDefault="006A5516" w:rsidP="0037724F">
      <w:pPr>
        <w:autoSpaceDE w:val="0"/>
        <w:autoSpaceDN w:val="0"/>
        <w:adjustRightInd w:val="0"/>
        <w:spacing w:after="0" w:line="240" w:lineRule="auto"/>
        <w:jc w:val="both"/>
        <w:rPr>
          <w:rFonts w:ascii="Arial" w:hAnsi="Arial" w:cs="Arial"/>
          <w:b/>
          <w:bCs/>
          <w:color w:val="000000"/>
          <w:sz w:val="48"/>
          <w:szCs w:val="48"/>
          <w:lang w:val="uk-UA"/>
        </w:rPr>
      </w:pPr>
    </w:p>
    <w:p w14:paraId="6125A598" w14:textId="42FF9207" w:rsidR="006A5516" w:rsidRDefault="006A5516" w:rsidP="0037724F">
      <w:pPr>
        <w:autoSpaceDE w:val="0"/>
        <w:autoSpaceDN w:val="0"/>
        <w:adjustRightInd w:val="0"/>
        <w:spacing w:after="0" w:line="240" w:lineRule="auto"/>
        <w:jc w:val="both"/>
        <w:rPr>
          <w:rFonts w:ascii="Arial" w:hAnsi="Arial" w:cs="Arial"/>
          <w:b/>
          <w:bCs/>
          <w:color w:val="000000"/>
          <w:sz w:val="48"/>
          <w:szCs w:val="48"/>
          <w:lang w:val="uk-UA"/>
        </w:rPr>
      </w:pPr>
    </w:p>
    <w:p w14:paraId="7C4E9EB8" w14:textId="139B2495" w:rsidR="006A5516" w:rsidRPr="00A32EE6" w:rsidRDefault="00AC042B" w:rsidP="0037724F">
      <w:pPr>
        <w:autoSpaceDE w:val="0"/>
        <w:autoSpaceDN w:val="0"/>
        <w:adjustRightInd w:val="0"/>
        <w:spacing w:after="0" w:line="240" w:lineRule="auto"/>
        <w:jc w:val="both"/>
        <w:rPr>
          <w:rFonts w:ascii="Arial" w:hAnsi="Arial" w:cs="Arial"/>
          <w:b/>
          <w:bCs/>
          <w:color w:val="6A2041"/>
          <w:sz w:val="48"/>
          <w:szCs w:val="48"/>
          <w:lang w:val="uk-UA"/>
        </w:rPr>
      </w:pPr>
      <w:r>
        <w:rPr>
          <w:noProof/>
          <w:sz w:val="20"/>
          <w:szCs w:val="20"/>
          <w:lang w:eastAsia="ru-RU"/>
        </w:rPr>
        <w:lastRenderedPageBreak/>
        <w:drawing>
          <wp:anchor distT="0" distB="0" distL="114300" distR="114300" simplePos="0" relativeHeight="251673600" behindDoc="1" locked="0" layoutInCell="0" allowOverlap="1" wp14:anchorId="41D72C50" wp14:editId="48A7F4B2">
            <wp:simplePos x="0" y="0"/>
            <wp:positionH relativeFrom="page">
              <wp:posOffset>393896</wp:posOffset>
            </wp:positionH>
            <wp:positionV relativeFrom="page">
              <wp:posOffset>344658</wp:posOffset>
            </wp:positionV>
            <wp:extent cx="1029140" cy="728140"/>
            <wp:effectExtent l="0" t="0" r="0" b="8890"/>
            <wp:wrapNone/>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044500" cy="739007"/>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61312" behindDoc="1" locked="0" layoutInCell="0" allowOverlap="1" wp14:anchorId="1ADE2704" wp14:editId="08EEE7E1">
            <wp:simplePos x="0" y="0"/>
            <wp:positionH relativeFrom="page">
              <wp:posOffset>393798</wp:posOffset>
            </wp:positionH>
            <wp:positionV relativeFrom="page">
              <wp:posOffset>344903</wp:posOffset>
            </wp:positionV>
            <wp:extent cx="790822" cy="542388"/>
            <wp:effectExtent l="0" t="0" r="0" b="0"/>
            <wp:wrapNone/>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790822" cy="542388"/>
                    </a:xfrm>
                    <a:prstGeom prst="rect">
                      <a:avLst/>
                    </a:prstGeom>
                    <a:noFill/>
                  </pic:spPr>
                </pic:pic>
              </a:graphicData>
            </a:graphic>
            <wp14:sizeRelH relativeFrom="margin">
              <wp14:pctWidth>0</wp14:pctWidth>
            </wp14:sizeRelH>
            <wp14:sizeRelV relativeFrom="margin">
              <wp14:pctHeight>0</wp14:pctHeight>
            </wp14:sizeRelV>
          </wp:anchor>
        </w:drawing>
      </w:r>
    </w:p>
    <w:p w14:paraId="62684492" w14:textId="77777777" w:rsidR="00E568A1" w:rsidRPr="00A32EE6" w:rsidRDefault="00E568A1" w:rsidP="009B51D9">
      <w:pPr>
        <w:autoSpaceDE w:val="0"/>
        <w:autoSpaceDN w:val="0"/>
        <w:adjustRightInd w:val="0"/>
        <w:spacing w:after="0" w:line="240" w:lineRule="auto"/>
        <w:jc w:val="both"/>
        <w:outlineLvl w:val="0"/>
        <w:rPr>
          <w:rFonts w:ascii="Arial" w:hAnsi="Arial" w:cs="Arial"/>
          <w:b/>
          <w:bCs/>
          <w:color w:val="6A2041"/>
          <w:sz w:val="48"/>
          <w:szCs w:val="48"/>
          <w:lang w:val="uk-UA"/>
        </w:rPr>
      </w:pPr>
      <w:r w:rsidRPr="00A32EE6">
        <w:rPr>
          <w:rFonts w:ascii="Arial" w:hAnsi="Arial" w:cs="Arial"/>
          <w:b/>
          <w:bCs/>
          <w:color w:val="6A2041"/>
          <w:sz w:val="48"/>
          <w:szCs w:val="48"/>
          <w:lang w:val="uk-UA"/>
        </w:rPr>
        <w:t>Зміст</w:t>
      </w:r>
    </w:p>
    <w:p w14:paraId="551B7060" w14:textId="77777777" w:rsidR="00E568A1" w:rsidRPr="00ED37DB" w:rsidRDefault="00E568A1" w:rsidP="00FC7E79">
      <w:pPr>
        <w:autoSpaceDE w:val="0"/>
        <w:autoSpaceDN w:val="0"/>
        <w:adjustRightInd w:val="0"/>
        <w:spacing w:after="0" w:line="240" w:lineRule="auto"/>
        <w:rPr>
          <w:rFonts w:ascii="Arial" w:hAnsi="Arial" w:cs="Arial"/>
          <w:b/>
          <w:bCs/>
          <w:color w:val="000000"/>
          <w:sz w:val="20"/>
          <w:szCs w:val="20"/>
          <w:lang w:val="uk-UA"/>
        </w:rPr>
      </w:pPr>
    </w:p>
    <w:tbl>
      <w:tblPr>
        <w:tblW w:w="0" w:type="auto"/>
        <w:tblInd w:w="108" w:type="dxa"/>
        <w:tblLook w:val="01E0" w:firstRow="1" w:lastRow="1" w:firstColumn="1" w:lastColumn="1" w:noHBand="0" w:noVBand="0"/>
      </w:tblPr>
      <w:tblGrid>
        <w:gridCol w:w="8778"/>
        <w:gridCol w:w="469"/>
      </w:tblGrid>
      <w:tr w:rsidR="0039136D" w:rsidRPr="0014339A" w14:paraId="4A1BAF4F" w14:textId="77777777" w:rsidTr="0014339A">
        <w:tc>
          <w:tcPr>
            <w:tcW w:w="8460" w:type="dxa"/>
          </w:tcPr>
          <w:p w14:paraId="18B2FCD4"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2599FE59" w14:textId="77777777" w:rsidR="00E568A1" w:rsidRPr="0014339A" w:rsidRDefault="0039136D" w:rsidP="0014339A">
            <w:pPr>
              <w:autoSpaceDE w:val="0"/>
              <w:autoSpaceDN w:val="0"/>
              <w:adjustRightInd w:val="0"/>
              <w:spacing w:after="0" w:line="240" w:lineRule="auto"/>
              <w:rPr>
                <w:rFonts w:ascii="Arial" w:hAnsi="Arial" w:cs="Arial"/>
                <w:b/>
                <w:bCs/>
                <w:color w:val="000000"/>
                <w:sz w:val="24"/>
                <w:szCs w:val="24"/>
                <w:lang w:val="uk-UA"/>
              </w:rPr>
            </w:pPr>
            <w:r>
              <w:rPr>
                <w:rFonts w:ascii="Arial" w:hAnsi="Arial" w:cs="Arial"/>
                <w:b/>
                <w:bCs/>
                <w:color w:val="000000"/>
                <w:sz w:val="24"/>
                <w:szCs w:val="24"/>
                <w:lang w:val="uk-UA"/>
              </w:rPr>
              <w:t>Допоміжні інтернет матеріали…………………………..…………………………</w:t>
            </w:r>
          </w:p>
          <w:p w14:paraId="1FBF720D" w14:textId="77777777" w:rsidR="00E568A1" w:rsidRPr="0014339A" w:rsidRDefault="00E568A1" w:rsidP="0014339A">
            <w:pPr>
              <w:autoSpaceDE w:val="0"/>
              <w:autoSpaceDN w:val="0"/>
              <w:adjustRightInd w:val="0"/>
              <w:spacing w:after="0" w:line="240" w:lineRule="auto"/>
              <w:rPr>
                <w:rFonts w:ascii="Arial" w:hAnsi="Arial" w:cs="Arial"/>
                <w:bCs/>
                <w:color w:val="000000"/>
                <w:sz w:val="8"/>
                <w:szCs w:val="8"/>
                <w:lang w:val="uk-UA"/>
              </w:rPr>
            </w:pPr>
          </w:p>
        </w:tc>
        <w:tc>
          <w:tcPr>
            <w:tcW w:w="900" w:type="dxa"/>
          </w:tcPr>
          <w:p w14:paraId="0E872EC6"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731A116E" w14:textId="3568049B"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6</w:t>
            </w:r>
          </w:p>
        </w:tc>
      </w:tr>
      <w:tr w:rsidR="0039136D" w:rsidRPr="0014339A" w14:paraId="71D67CEB" w14:textId="77777777" w:rsidTr="0014339A">
        <w:tc>
          <w:tcPr>
            <w:tcW w:w="8460" w:type="dxa"/>
          </w:tcPr>
          <w:p w14:paraId="23213767"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4C572BC1"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lang w:val="uk-UA"/>
              </w:rPr>
              <w:t>Подяка</w:t>
            </w:r>
            <w:r w:rsidR="0039136D">
              <w:rPr>
                <w:rFonts w:ascii="Arial" w:hAnsi="Arial" w:cs="Arial"/>
                <w:b/>
                <w:bCs/>
                <w:color w:val="000000"/>
                <w:sz w:val="24"/>
                <w:szCs w:val="24"/>
                <w:lang w:val="uk-UA"/>
              </w:rPr>
              <w:t>……………………………………………………………………………………</w:t>
            </w:r>
          </w:p>
          <w:p w14:paraId="473673F0"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0F0A9C73"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2520AE96" w14:textId="09295B72"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7</w:t>
            </w:r>
          </w:p>
        </w:tc>
      </w:tr>
      <w:tr w:rsidR="0039136D" w:rsidRPr="0014339A" w14:paraId="2B731645" w14:textId="77777777" w:rsidTr="0014339A">
        <w:tc>
          <w:tcPr>
            <w:tcW w:w="8460" w:type="dxa"/>
          </w:tcPr>
          <w:p w14:paraId="4C8327B3"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5E96E042" w14:textId="6A6F1303" w:rsidR="00E568A1" w:rsidRPr="0014339A" w:rsidRDefault="007320A7" w:rsidP="0014339A">
            <w:pPr>
              <w:autoSpaceDE w:val="0"/>
              <w:autoSpaceDN w:val="0"/>
              <w:adjustRightInd w:val="0"/>
              <w:spacing w:after="0" w:line="240" w:lineRule="auto"/>
              <w:rPr>
                <w:rFonts w:ascii="Arial" w:hAnsi="Arial" w:cs="Arial"/>
                <w:b/>
                <w:bCs/>
                <w:color w:val="000000"/>
                <w:sz w:val="24"/>
                <w:szCs w:val="24"/>
                <w:lang w:val="uk-UA"/>
              </w:rPr>
            </w:pPr>
            <w:r>
              <w:rPr>
                <w:rFonts w:ascii="Arial" w:hAnsi="Arial" w:cs="Arial"/>
                <w:b/>
                <w:bCs/>
                <w:color w:val="000000"/>
                <w:sz w:val="24"/>
                <w:szCs w:val="24"/>
                <w:lang w:val="uk-UA"/>
              </w:rPr>
              <w:t>Резюме……….</w:t>
            </w:r>
            <w:r w:rsidR="0039136D">
              <w:rPr>
                <w:rFonts w:ascii="Arial" w:hAnsi="Arial" w:cs="Arial"/>
                <w:b/>
                <w:bCs/>
                <w:color w:val="000000"/>
                <w:sz w:val="24"/>
                <w:szCs w:val="24"/>
                <w:lang w:val="uk-UA"/>
              </w:rPr>
              <w:t>………………………………………………………………………….</w:t>
            </w:r>
          </w:p>
          <w:p w14:paraId="5D2622D6"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1B1343EF"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4D21F9A5" w14:textId="7D752D39"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8</w:t>
            </w:r>
          </w:p>
        </w:tc>
      </w:tr>
      <w:tr w:rsidR="0039136D" w:rsidRPr="0014339A" w14:paraId="5EFCCFC8" w14:textId="77777777" w:rsidTr="0014339A">
        <w:tc>
          <w:tcPr>
            <w:tcW w:w="8460" w:type="dxa"/>
          </w:tcPr>
          <w:p w14:paraId="792A1B0C"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5F5C8E39" w14:textId="77777777" w:rsidR="00E568A1" w:rsidRPr="0039136D"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rPr>
              <w:t>Список скорочень</w:t>
            </w:r>
            <w:r w:rsidR="0039136D">
              <w:rPr>
                <w:rFonts w:ascii="Arial" w:hAnsi="Arial" w:cs="Arial"/>
                <w:b/>
                <w:bCs/>
                <w:color w:val="000000"/>
                <w:sz w:val="24"/>
                <w:szCs w:val="24"/>
                <w:lang w:val="uk-UA"/>
              </w:rPr>
              <w:t>…………………………………………………………………….</w:t>
            </w:r>
          </w:p>
          <w:p w14:paraId="7CC90C13"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47E14045"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276B6B36" w14:textId="3AEBF110" w:rsidR="00E568A1" w:rsidRPr="0014339A" w:rsidRDefault="0039136D"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1</w:t>
            </w:r>
            <w:r w:rsidR="00703990">
              <w:rPr>
                <w:rFonts w:ascii="Arial" w:hAnsi="Arial" w:cs="Arial"/>
                <w:bCs/>
                <w:color w:val="000000"/>
                <w:lang w:val="uk-UA"/>
              </w:rPr>
              <w:t>8</w:t>
            </w:r>
          </w:p>
        </w:tc>
      </w:tr>
      <w:tr w:rsidR="0039136D" w:rsidRPr="0014339A" w14:paraId="12FBDABF" w14:textId="77777777" w:rsidTr="0014339A">
        <w:tc>
          <w:tcPr>
            <w:tcW w:w="8460" w:type="dxa"/>
          </w:tcPr>
          <w:p w14:paraId="23BC0B57"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000BE0BA"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rPr>
              <w:t xml:space="preserve">1. </w:t>
            </w:r>
            <w:r w:rsidR="009A7837">
              <w:rPr>
                <w:rFonts w:ascii="Arial" w:hAnsi="Arial" w:cs="Arial"/>
                <w:b/>
                <w:bCs/>
                <w:color w:val="000000"/>
                <w:sz w:val="24"/>
                <w:szCs w:val="24"/>
                <w:lang w:val="uk-UA"/>
              </w:rPr>
              <w:t>Вступ …………..</w:t>
            </w:r>
            <w:r w:rsidR="00E70FD6">
              <w:rPr>
                <w:rFonts w:ascii="Arial" w:hAnsi="Arial" w:cs="Arial"/>
                <w:b/>
                <w:bCs/>
                <w:color w:val="000000"/>
                <w:sz w:val="24"/>
                <w:szCs w:val="24"/>
                <w:lang w:val="uk-UA"/>
              </w:rPr>
              <w:t>……………………………………………………………………..</w:t>
            </w:r>
          </w:p>
          <w:p w14:paraId="62B8E40F"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6A11FEE5"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4F6C90CD" w14:textId="7792C4B0"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1</w:t>
            </w:r>
            <w:r w:rsidR="00703990">
              <w:rPr>
                <w:rFonts w:ascii="Arial" w:hAnsi="Arial" w:cs="Arial"/>
                <w:bCs/>
                <w:color w:val="000000"/>
                <w:lang w:val="uk-UA"/>
              </w:rPr>
              <w:t>9</w:t>
            </w:r>
          </w:p>
        </w:tc>
      </w:tr>
      <w:tr w:rsidR="0039136D" w:rsidRPr="0014339A" w14:paraId="72B31232" w14:textId="77777777" w:rsidTr="0014339A">
        <w:tc>
          <w:tcPr>
            <w:tcW w:w="8460" w:type="dxa"/>
          </w:tcPr>
          <w:p w14:paraId="630395CB"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1B9686BB"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rPr>
              <w:t xml:space="preserve">2. </w:t>
            </w:r>
            <w:r w:rsidRPr="0014339A">
              <w:rPr>
                <w:rFonts w:ascii="Arial" w:hAnsi="Arial" w:cs="Arial"/>
                <w:b/>
                <w:bCs/>
                <w:color w:val="000000"/>
                <w:sz w:val="24"/>
                <w:szCs w:val="24"/>
                <w:lang w:val="uk-UA"/>
              </w:rPr>
              <w:t>Мета керівництва та цільова аудиторія</w:t>
            </w:r>
            <w:r w:rsidR="00E70FD6">
              <w:rPr>
                <w:rFonts w:ascii="Arial" w:hAnsi="Arial" w:cs="Arial"/>
                <w:b/>
                <w:bCs/>
                <w:color w:val="000000"/>
                <w:sz w:val="24"/>
                <w:szCs w:val="24"/>
                <w:lang w:val="uk-UA"/>
              </w:rPr>
              <w:t>……………………………………...</w:t>
            </w:r>
          </w:p>
          <w:p w14:paraId="78BB82AE"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4C9149BE"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7CC6D3AA" w14:textId="0C391F6E"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20</w:t>
            </w:r>
          </w:p>
        </w:tc>
      </w:tr>
      <w:tr w:rsidR="0039136D" w:rsidRPr="0014339A" w14:paraId="725C9F05" w14:textId="77777777" w:rsidTr="0014339A">
        <w:tc>
          <w:tcPr>
            <w:tcW w:w="8460" w:type="dxa"/>
          </w:tcPr>
          <w:p w14:paraId="5ACE08AA"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2D2F4F61"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lang w:val="uk-UA"/>
              </w:rPr>
              <w:t>3. Процес розробки керівництва</w:t>
            </w:r>
            <w:r w:rsidR="00E70FD6">
              <w:rPr>
                <w:rFonts w:ascii="Arial" w:hAnsi="Arial" w:cs="Arial"/>
                <w:b/>
                <w:bCs/>
                <w:color w:val="000000"/>
                <w:sz w:val="24"/>
                <w:szCs w:val="24"/>
                <w:lang w:val="uk-UA"/>
              </w:rPr>
              <w:t>………………………………………………….</w:t>
            </w:r>
          </w:p>
          <w:p w14:paraId="0B050C1E"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5BAE8023"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5076A31E" w14:textId="4BB9EA8A"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21</w:t>
            </w:r>
          </w:p>
        </w:tc>
      </w:tr>
      <w:tr w:rsidR="0039136D" w:rsidRPr="0014339A" w14:paraId="76A26FF2" w14:textId="77777777" w:rsidTr="0014339A">
        <w:tc>
          <w:tcPr>
            <w:tcW w:w="8460" w:type="dxa"/>
          </w:tcPr>
          <w:p w14:paraId="664D7CF3"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45BF531D" w14:textId="70A6F20F"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lang w:val="uk-UA"/>
              </w:rPr>
              <w:t>4. Доказов</w:t>
            </w:r>
            <w:r w:rsidR="00E70FD6">
              <w:rPr>
                <w:rFonts w:ascii="Arial" w:hAnsi="Arial" w:cs="Arial"/>
                <w:b/>
                <w:bCs/>
                <w:color w:val="000000"/>
                <w:sz w:val="24"/>
                <w:szCs w:val="24"/>
                <w:lang w:val="uk-UA"/>
              </w:rPr>
              <w:t>а база для формулю</w:t>
            </w:r>
            <w:r w:rsidR="00ED1644">
              <w:rPr>
                <w:rFonts w:ascii="Arial" w:hAnsi="Arial" w:cs="Arial"/>
                <w:b/>
                <w:bCs/>
                <w:color w:val="000000"/>
                <w:sz w:val="24"/>
                <w:szCs w:val="24"/>
                <w:lang w:val="uk-UA"/>
              </w:rPr>
              <w:t xml:space="preserve">вання політики </w:t>
            </w:r>
            <w:r w:rsidR="00E70FD6">
              <w:rPr>
                <w:rFonts w:ascii="Arial" w:hAnsi="Arial" w:cs="Arial"/>
                <w:b/>
                <w:bCs/>
                <w:color w:val="000000"/>
                <w:sz w:val="24"/>
                <w:szCs w:val="24"/>
                <w:lang w:val="uk-UA"/>
              </w:rPr>
              <w:t>…</w:t>
            </w:r>
            <w:r w:rsidR="00ED37DB">
              <w:rPr>
                <w:rFonts w:ascii="Arial" w:hAnsi="Arial" w:cs="Arial"/>
                <w:b/>
                <w:bCs/>
                <w:color w:val="000000"/>
                <w:sz w:val="24"/>
                <w:szCs w:val="24"/>
                <w:lang w:val="uk-UA"/>
              </w:rPr>
              <w:t>…...</w:t>
            </w:r>
            <w:r w:rsidR="00E70FD6">
              <w:rPr>
                <w:rFonts w:ascii="Arial" w:hAnsi="Arial" w:cs="Arial"/>
                <w:b/>
                <w:bCs/>
                <w:color w:val="000000"/>
                <w:sz w:val="24"/>
                <w:szCs w:val="24"/>
                <w:lang w:val="uk-UA"/>
              </w:rPr>
              <w:t>……………………....</w:t>
            </w:r>
          </w:p>
          <w:p w14:paraId="57E45B65"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6E93260D"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1E27C44D" w14:textId="3C5E900E"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4</w:t>
            </w:r>
          </w:p>
        </w:tc>
      </w:tr>
      <w:tr w:rsidR="0039136D" w:rsidRPr="0014339A" w14:paraId="423F3820" w14:textId="77777777" w:rsidTr="0014339A">
        <w:tc>
          <w:tcPr>
            <w:tcW w:w="8460" w:type="dxa"/>
          </w:tcPr>
          <w:p w14:paraId="50AD9D09"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2F6E4181"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rPr>
              <w:t xml:space="preserve">5. </w:t>
            </w:r>
            <w:r w:rsidRPr="0014339A">
              <w:rPr>
                <w:rFonts w:ascii="Arial" w:hAnsi="Arial" w:cs="Arial"/>
                <w:b/>
                <w:bCs/>
                <w:color w:val="000000"/>
                <w:sz w:val="24"/>
                <w:szCs w:val="24"/>
                <w:lang w:val="uk-UA"/>
              </w:rPr>
              <w:t>Рекомендації Експертної Групи</w:t>
            </w:r>
            <w:r w:rsidR="00E70FD6">
              <w:rPr>
                <w:rFonts w:ascii="Arial" w:hAnsi="Arial" w:cs="Arial"/>
                <w:b/>
                <w:bCs/>
                <w:color w:val="000000"/>
                <w:sz w:val="24"/>
                <w:szCs w:val="24"/>
                <w:lang w:val="uk-UA"/>
              </w:rPr>
              <w:t>………………………………………………...</w:t>
            </w:r>
          </w:p>
          <w:p w14:paraId="33D3C689"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5E7432FC"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2AD4D6BF" w14:textId="7DA51585"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30</w:t>
            </w:r>
          </w:p>
        </w:tc>
      </w:tr>
      <w:tr w:rsidR="0039136D" w:rsidRPr="0014339A" w14:paraId="2EF98EC4" w14:textId="77777777" w:rsidTr="0014339A">
        <w:tc>
          <w:tcPr>
            <w:tcW w:w="8460" w:type="dxa"/>
          </w:tcPr>
          <w:p w14:paraId="0E58FC32"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06CFB21B"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lang w:val="uk-UA"/>
              </w:rPr>
              <w:t>6. Тимчасові рекомендації ВООЗ</w:t>
            </w:r>
            <w:r w:rsidR="00E70FD6">
              <w:rPr>
                <w:rFonts w:ascii="Arial" w:hAnsi="Arial" w:cs="Arial"/>
                <w:b/>
                <w:bCs/>
                <w:color w:val="000000"/>
                <w:sz w:val="24"/>
                <w:szCs w:val="24"/>
                <w:lang w:val="uk-UA"/>
              </w:rPr>
              <w:t>………………………………………………….</w:t>
            </w:r>
          </w:p>
          <w:p w14:paraId="68F0622A"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68F2D37A"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46A7D094" w14:textId="09CF06FC"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3</w:t>
            </w:r>
            <w:r w:rsidR="00703990">
              <w:rPr>
                <w:rFonts w:ascii="Arial" w:hAnsi="Arial" w:cs="Arial"/>
                <w:bCs/>
                <w:color w:val="000000"/>
                <w:lang w:val="uk-UA"/>
              </w:rPr>
              <w:t>4</w:t>
            </w:r>
          </w:p>
        </w:tc>
      </w:tr>
      <w:tr w:rsidR="0039136D" w:rsidRPr="0014339A" w14:paraId="195A1408" w14:textId="77777777" w:rsidTr="0014339A">
        <w:tc>
          <w:tcPr>
            <w:tcW w:w="8460" w:type="dxa"/>
          </w:tcPr>
          <w:p w14:paraId="36E6B63E"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p w14:paraId="4BEA3579"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lang w:val="uk-UA"/>
              </w:rPr>
            </w:pPr>
            <w:r w:rsidRPr="0014339A">
              <w:rPr>
                <w:rFonts w:ascii="Arial" w:hAnsi="Arial" w:cs="Arial"/>
                <w:b/>
                <w:bCs/>
                <w:color w:val="000000"/>
                <w:sz w:val="24"/>
                <w:szCs w:val="24"/>
              </w:rPr>
              <w:t xml:space="preserve">7. </w:t>
            </w:r>
            <w:r w:rsidRPr="0014339A">
              <w:rPr>
                <w:rFonts w:ascii="Arial" w:hAnsi="Arial" w:cs="Arial"/>
                <w:b/>
                <w:bCs/>
                <w:color w:val="000000"/>
                <w:sz w:val="24"/>
                <w:szCs w:val="24"/>
                <w:lang w:val="uk-UA"/>
              </w:rPr>
              <w:t>Поширення та імплементація</w:t>
            </w:r>
            <w:r w:rsidR="00E70FD6">
              <w:rPr>
                <w:rFonts w:ascii="Arial" w:hAnsi="Arial" w:cs="Arial"/>
                <w:b/>
                <w:bCs/>
                <w:color w:val="000000"/>
                <w:sz w:val="24"/>
                <w:szCs w:val="24"/>
                <w:lang w:val="uk-UA"/>
              </w:rPr>
              <w:t>…………………………………………………...</w:t>
            </w:r>
          </w:p>
          <w:p w14:paraId="731251B3"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20D52BB4"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2CFA4C9E" w14:textId="7D601BDC"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3</w:t>
            </w:r>
            <w:r w:rsidR="00703990">
              <w:rPr>
                <w:rFonts w:ascii="Arial" w:hAnsi="Arial" w:cs="Arial"/>
                <w:bCs/>
                <w:color w:val="000000"/>
                <w:lang w:val="uk-UA"/>
              </w:rPr>
              <w:t>7</w:t>
            </w:r>
          </w:p>
        </w:tc>
      </w:tr>
      <w:tr w:rsidR="0039136D" w:rsidRPr="0014339A" w14:paraId="337EA9D9" w14:textId="77777777" w:rsidTr="0014339A">
        <w:tc>
          <w:tcPr>
            <w:tcW w:w="8460" w:type="dxa"/>
          </w:tcPr>
          <w:p w14:paraId="2FBF2716" w14:textId="77777777" w:rsidR="00E568A1" w:rsidRPr="00ED37DB" w:rsidRDefault="00E568A1" w:rsidP="0014339A">
            <w:pPr>
              <w:autoSpaceDE w:val="0"/>
              <w:autoSpaceDN w:val="0"/>
              <w:adjustRightInd w:val="0"/>
              <w:spacing w:after="0" w:line="240" w:lineRule="auto"/>
              <w:rPr>
                <w:rFonts w:ascii="Arial" w:hAnsi="Arial" w:cs="Arial"/>
                <w:b/>
                <w:bCs/>
                <w:color w:val="000000"/>
                <w:sz w:val="20"/>
                <w:szCs w:val="20"/>
                <w:lang w:val="uk-UA"/>
              </w:rPr>
            </w:pPr>
          </w:p>
          <w:p w14:paraId="534B48F6" w14:textId="77777777" w:rsidR="00E568A1" w:rsidRPr="0014339A" w:rsidRDefault="00E568A1" w:rsidP="0014339A">
            <w:pPr>
              <w:autoSpaceDE w:val="0"/>
              <w:autoSpaceDN w:val="0"/>
              <w:adjustRightInd w:val="0"/>
              <w:spacing w:after="0" w:line="240" w:lineRule="auto"/>
              <w:rPr>
                <w:rFonts w:ascii="Arial" w:hAnsi="Arial" w:cs="Arial"/>
                <w:b/>
                <w:bCs/>
                <w:color w:val="000000"/>
                <w:sz w:val="24"/>
                <w:szCs w:val="24"/>
              </w:rPr>
            </w:pPr>
            <w:r w:rsidRPr="0014339A">
              <w:rPr>
                <w:rFonts w:ascii="Arial" w:hAnsi="Arial" w:cs="Arial"/>
                <w:b/>
                <w:bCs/>
                <w:color w:val="000000"/>
                <w:sz w:val="24"/>
                <w:szCs w:val="24"/>
                <w:lang w:val="uk-UA"/>
              </w:rPr>
              <w:t>Додатки</w:t>
            </w:r>
            <w:r w:rsidR="00E70FD6">
              <w:rPr>
                <w:rFonts w:ascii="Arial" w:hAnsi="Arial" w:cs="Arial"/>
                <w:b/>
                <w:bCs/>
                <w:color w:val="000000"/>
                <w:sz w:val="24"/>
                <w:szCs w:val="24"/>
                <w:lang w:val="uk-UA"/>
              </w:rPr>
              <w:t>…………………………………………………………………………………..</w:t>
            </w:r>
          </w:p>
        </w:tc>
        <w:tc>
          <w:tcPr>
            <w:tcW w:w="900" w:type="dxa"/>
          </w:tcPr>
          <w:p w14:paraId="0A3AFAA2" w14:textId="77777777" w:rsidR="00E70FD6" w:rsidRDefault="00E70FD6" w:rsidP="0014339A">
            <w:pPr>
              <w:autoSpaceDE w:val="0"/>
              <w:autoSpaceDN w:val="0"/>
              <w:adjustRightInd w:val="0"/>
              <w:spacing w:after="0" w:line="240" w:lineRule="auto"/>
              <w:jc w:val="right"/>
              <w:rPr>
                <w:rFonts w:ascii="Arial" w:hAnsi="Arial" w:cs="Arial"/>
                <w:bCs/>
                <w:color w:val="000000"/>
                <w:sz w:val="8"/>
                <w:szCs w:val="8"/>
                <w:lang w:val="uk-UA"/>
              </w:rPr>
            </w:pPr>
          </w:p>
          <w:p w14:paraId="13ADD698"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24"/>
                <w:szCs w:val="24"/>
                <w:lang w:val="uk-UA"/>
              </w:rPr>
            </w:pPr>
          </w:p>
          <w:p w14:paraId="0F0E5279" w14:textId="55B4170F"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4</w:t>
            </w:r>
            <w:r w:rsidR="00703990">
              <w:rPr>
                <w:rFonts w:ascii="Arial" w:hAnsi="Arial" w:cs="Arial"/>
                <w:bCs/>
                <w:color w:val="000000"/>
                <w:lang w:val="uk-UA"/>
              </w:rPr>
              <w:t>5</w:t>
            </w:r>
          </w:p>
        </w:tc>
      </w:tr>
      <w:tr w:rsidR="0039136D" w:rsidRPr="0014339A" w14:paraId="31AA1F8E" w14:textId="77777777" w:rsidTr="0014339A">
        <w:tc>
          <w:tcPr>
            <w:tcW w:w="8460" w:type="dxa"/>
          </w:tcPr>
          <w:p w14:paraId="1D46C506"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3F012CD4" w14:textId="493A3644" w:rsidR="00E568A1" w:rsidRPr="00E70FD6"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lang w:val="uk-UA"/>
              </w:rPr>
              <w:t>Додаток</w:t>
            </w:r>
            <w:r w:rsidRPr="0014339A">
              <w:rPr>
                <w:rFonts w:ascii="Arial" w:hAnsi="Arial" w:cs="Arial"/>
                <w:color w:val="000000"/>
              </w:rPr>
              <w:t xml:space="preserve"> 1: Члени Наглядової групи </w:t>
            </w:r>
            <w:r w:rsidR="00ED1644">
              <w:rPr>
                <w:rFonts w:ascii="Arial" w:hAnsi="Arial" w:cs="Arial"/>
                <w:color w:val="000000"/>
              </w:rPr>
              <w:t xml:space="preserve">з розробки рекомендацій </w:t>
            </w:r>
            <w:r w:rsidR="007D7344">
              <w:rPr>
                <w:rFonts w:ascii="Arial" w:hAnsi="Arial" w:cs="Arial"/>
                <w:color w:val="000000"/>
              </w:rPr>
              <w:t xml:space="preserve">ВООЗ  </w:t>
            </w:r>
            <w:r w:rsidR="007D7344">
              <w:rPr>
                <w:rFonts w:ascii="Arial" w:hAnsi="Arial" w:cs="Arial"/>
                <w:color w:val="000000"/>
                <w:lang w:val="uk-UA"/>
              </w:rPr>
              <w:t>………………...</w:t>
            </w:r>
          </w:p>
          <w:p w14:paraId="2B219CF4"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438F119C"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62A366C3" w14:textId="187F6BF8" w:rsidR="00E568A1" w:rsidRPr="0014339A" w:rsidRDefault="00E70FD6"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4</w:t>
            </w:r>
            <w:r w:rsidR="00703990">
              <w:rPr>
                <w:rFonts w:ascii="Arial" w:hAnsi="Arial" w:cs="Arial"/>
                <w:bCs/>
                <w:color w:val="000000"/>
                <w:lang w:val="uk-UA"/>
              </w:rPr>
              <w:t>6</w:t>
            </w:r>
          </w:p>
        </w:tc>
      </w:tr>
      <w:tr w:rsidR="0039136D" w:rsidRPr="0014339A" w14:paraId="2C2C56FF" w14:textId="77777777" w:rsidTr="0014339A">
        <w:tc>
          <w:tcPr>
            <w:tcW w:w="8460" w:type="dxa"/>
          </w:tcPr>
          <w:p w14:paraId="668966D2"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403A7722" w14:textId="77777777" w:rsidR="00E568A1" w:rsidRPr="00E70FD6"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Додаток 2: Члени Експертної групи</w:t>
            </w:r>
            <w:r w:rsidR="00E70FD6">
              <w:rPr>
                <w:rFonts w:ascii="Arial" w:hAnsi="Arial" w:cs="Arial"/>
                <w:color w:val="000000"/>
                <w:lang w:val="uk-UA"/>
              </w:rPr>
              <w:t>…………………………………………………………..</w:t>
            </w:r>
          </w:p>
          <w:p w14:paraId="1DF91BF6"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78B26037"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6E22127E" w14:textId="05A503E3" w:rsidR="00E568A1" w:rsidRPr="0014339A" w:rsidRDefault="00E568A1" w:rsidP="0014339A">
            <w:pPr>
              <w:autoSpaceDE w:val="0"/>
              <w:autoSpaceDN w:val="0"/>
              <w:adjustRightInd w:val="0"/>
              <w:spacing w:after="0" w:line="240" w:lineRule="auto"/>
              <w:jc w:val="right"/>
              <w:rPr>
                <w:rFonts w:ascii="Arial" w:hAnsi="Arial" w:cs="Arial"/>
                <w:bCs/>
                <w:color w:val="000000"/>
                <w:lang w:val="uk-UA"/>
              </w:rPr>
            </w:pPr>
          </w:p>
        </w:tc>
      </w:tr>
      <w:tr w:rsidR="0039136D" w:rsidRPr="0014339A" w14:paraId="0E7ACB52" w14:textId="77777777" w:rsidTr="0014339A">
        <w:tc>
          <w:tcPr>
            <w:tcW w:w="8460" w:type="dxa"/>
          </w:tcPr>
          <w:p w14:paraId="3C124BC7"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24F1F4A6" w14:textId="727CF42D" w:rsidR="00E568A1" w:rsidRPr="00E70FD6" w:rsidRDefault="00ED1644" w:rsidP="0014339A">
            <w:pPr>
              <w:autoSpaceDE w:val="0"/>
              <w:autoSpaceDN w:val="0"/>
              <w:adjustRightInd w:val="0"/>
              <w:spacing w:after="0" w:line="240" w:lineRule="auto"/>
              <w:rPr>
                <w:rFonts w:ascii="Arial" w:hAnsi="Arial" w:cs="Arial"/>
                <w:color w:val="000000"/>
                <w:lang w:val="uk-UA"/>
              </w:rPr>
            </w:pPr>
            <w:r>
              <w:rPr>
                <w:rFonts w:ascii="Arial" w:hAnsi="Arial" w:cs="Arial"/>
                <w:color w:val="000000"/>
              </w:rPr>
              <w:t xml:space="preserve">Додаток 3: Цілі та порядок денний </w:t>
            </w:r>
            <w:r w:rsidR="00E568A1" w:rsidRPr="0014339A">
              <w:rPr>
                <w:rFonts w:ascii="Arial" w:hAnsi="Arial" w:cs="Arial"/>
                <w:color w:val="000000"/>
              </w:rPr>
              <w:t>засідання Групи експертів</w:t>
            </w:r>
            <w:r>
              <w:rPr>
                <w:rFonts w:ascii="Arial" w:hAnsi="Arial" w:cs="Arial"/>
                <w:color w:val="000000"/>
              </w:rPr>
              <w:t xml:space="preserve">  </w:t>
            </w:r>
            <w:r w:rsidR="007D7344">
              <w:rPr>
                <w:rFonts w:ascii="Arial" w:hAnsi="Arial" w:cs="Arial"/>
                <w:color w:val="000000"/>
              </w:rPr>
              <w:t>…….</w:t>
            </w:r>
            <w:r w:rsidR="00E70FD6">
              <w:rPr>
                <w:rFonts w:ascii="Arial" w:hAnsi="Arial" w:cs="Arial"/>
                <w:color w:val="000000"/>
                <w:lang w:val="uk-UA"/>
              </w:rPr>
              <w:t>………………</w:t>
            </w:r>
            <w:r w:rsidR="00703990">
              <w:rPr>
                <w:rFonts w:ascii="Arial" w:hAnsi="Arial" w:cs="Arial"/>
                <w:color w:val="000000"/>
                <w:lang w:val="uk-UA"/>
              </w:rPr>
              <w:t>…..</w:t>
            </w:r>
          </w:p>
          <w:p w14:paraId="71435899"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3FAACCAF"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167B2D05" w14:textId="5D652CEA" w:rsidR="00E568A1" w:rsidRPr="0014339A"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47</w:t>
            </w:r>
          </w:p>
        </w:tc>
      </w:tr>
      <w:tr w:rsidR="0039136D" w:rsidRPr="0014339A" w14:paraId="02B72991" w14:textId="77777777" w:rsidTr="0014339A">
        <w:tc>
          <w:tcPr>
            <w:tcW w:w="8460" w:type="dxa"/>
          </w:tcPr>
          <w:p w14:paraId="17D6CC9A"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2673F22F" w14:textId="779F57A6" w:rsidR="00E568A1" w:rsidRPr="0014339A"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Додаток 4: </w:t>
            </w:r>
            <w:r w:rsidR="007D7344">
              <w:rPr>
                <w:rFonts w:ascii="Arial" w:hAnsi="Arial" w:cs="Arial"/>
                <w:color w:val="000000"/>
              </w:rPr>
              <w:t xml:space="preserve">Декларація про </w:t>
            </w:r>
            <w:r w:rsidR="00A058DB" w:rsidRPr="00A058DB">
              <w:rPr>
                <w:rFonts w:ascii="Arial" w:hAnsi="Arial" w:cs="Arial"/>
                <w:color w:val="000000"/>
              </w:rPr>
              <w:t>зацікавленість</w:t>
            </w:r>
            <w:r w:rsidR="007D7344">
              <w:rPr>
                <w:rFonts w:ascii="Arial" w:hAnsi="Arial" w:cs="Arial"/>
                <w:color w:val="000000"/>
                <w:lang w:val="uk-UA"/>
              </w:rPr>
              <w:t>…………………………………………</w:t>
            </w:r>
            <w:r w:rsidR="00703990">
              <w:rPr>
                <w:rFonts w:ascii="Arial" w:hAnsi="Arial" w:cs="Arial"/>
                <w:color w:val="000000"/>
                <w:lang w:val="uk-UA"/>
              </w:rPr>
              <w:t>……….</w:t>
            </w:r>
          </w:p>
          <w:p w14:paraId="491EBE6E"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uk-UA"/>
              </w:rPr>
            </w:pPr>
          </w:p>
        </w:tc>
        <w:tc>
          <w:tcPr>
            <w:tcW w:w="900" w:type="dxa"/>
          </w:tcPr>
          <w:p w14:paraId="3B7C5522"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2BDAC4A8" w14:textId="730EBB0F" w:rsidR="00E568A1" w:rsidRPr="0014339A" w:rsidRDefault="00E568A1" w:rsidP="0014339A">
            <w:pPr>
              <w:autoSpaceDE w:val="0"/>
              <w:autoSpaceDN w:val="0"/>
              <w:adjustRightInd w:val="0"/>
              <w:spacing w:after="0" w:line="240" w:lineRule="auto"/>
              <w:jc w:val="right"/>
              <w:rPr>
                <w:rFonts w:ascii="Arial" w:hAnsi="Arial" w:cs="Arial"/>
                <w:bCs/>
                <w:color w:val="000000"/>
                <w:lang w:val="uk-UA"/>
              </w:rPr>
            </w:pPr>
          </w:p>
        </w:tc>
      </w:tr>
      <w:tr w:rsidR="0039136D" w:rsidRPr="0014339A" w14:paraId="7E32C297" w14:textId="77777777" w:rsidTr="0014339A">
        <w:tc>
          <w:tcPr>
            <w:tcW w:w="8460" w:type="dxa"/>
          </w:tcPr>
          <w:p w14:paraId="47C24C8F"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03FFDC3A" w14:textId="0BDE6A98" w:rsidR="00E568A1" w:rsidRPr="0014339A"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Додаток 5: Глосарій </w:t>
            </w:r>
            <w:r w:rsidR="00ED1644" w:rsidRPr="0014339A">
              <w:rPr>
                <w:rFonts w:ascii="Arial" w:hAnsi="Arial" w:cs="Arial"/>
                <w:color w:val="000000"/>
                <w:lang w:val="uk-UA"/>
              </w:rPr>
              <w:t>термінів</w:t>
            </w:r>
            <w:r w:rsidR="00ED1644" w:rsidRPr="0014339A">
              <w:rPr>
                <w:rFonts w:ascii="Arial" w:hAnsi="Arial" w:cs="Arial"/>
                <w:color w:val="000000"/>
                <w:lang w:val="en-US"/>
              </w:rPr>
              <w:t xml:space="preserve"> </w:t>
            </w:r>
            <w:r w:rsidRPr="0014339A">
              <w:rPr>
                <w:rFonts w:ascii="Arial" w:hAnsi="Arial" w:cs="Arial"/>
                <w:color w:val="000000"/>
                <w:lang w:val="en-US"/>
              </w:rPr>
              <w:t>GRADE</w:t>
            </w:r>
            <w:r w:rsidRPr="0014339A">
              <w:rPr>
                <w:rFonts w:ascii="Arial" w:hAnsi="Arial" w:cs="Arial"/>
                <w:color w:val="000000"/>
                <w:lang w:val="uk-UA"/>
              </w:rPr>
              <w:t xml:space="preserve"> </w:t>
            </w:r>
            <w:r w:rsidR="00E70FD6">
              <w:rPr>
                <w:rFonts w:ascii="Arial" w:hAnsi="Arial" w:cs="Arial"/>
                <w:color w:val="000000"/>
                <w:lang w:val="uk-UA"/>
              </w:rPr>
              <w:t>……………………………………………………….</w:t>
            </w:r>
          </w:p>
          <w:p w14:paraId="09B05220"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rPr>
            </w:pPr>
          </w:p>
        </w:tc>
        <w:tc>
          <w:tcPr>
            <w:tcW w:w="900" w:type="dxa"/>
          </w:tcPr>
          <w:p w14:paraId="4C4B39D1"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7CF5D67F" w14:textId="0DA2457E" w:rsidR="00E568A1" w:rsidRPr="0014339A" w:rsidRDefault="00E568A1" w:rsidP="0014339A">
            <w:pPr>
              <w:autoSpaceDE w:val="0"/>
              <w:autoSpaceDN w:val="0"/>
              <w:adjustRightInd w:val="0"/>
              <w:spacing w:after="0" w:line="240" w:lineRule="auto"/>
              <w:jc w:val="right"/>
              <w:rPr>
                <w:rFonts w:ascii="Arial" w:hAnsi="Arial" w:cs="Arial"/>
                <w:bCs/>
                <w:color w:val="000000"/>
                <w:lang w:val="uk-UA"/>
              </w:rPr>
            </w:pPr>
          </w:p>
        </w:tc>
      </w:tr>
      <w:tr w:rsidR="0039136D" w:rsidRPr="0014339A" w14:paraId="6767F97F" w14:textId="77777777" w:rsidTr="0014339A">
        <w:tc>
          <w:tcPr>
            <w:tcW w:w="8460" w:type="dxa"/>
          </w:tcPr>
          <w:p w14:paraId="7C600FD1"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0C4BB399" w14:textId="77777777" w:rsidR="00E568A1" w:rsidRPr="0014339A"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Додаток 6: Члени </w:t>
            </w:r>
            <w:r w:rsidRPr="0014339A">
              <w:rPr>
                <w:rFonts w:ascii="Arial" w:hAnsi="Arial" w:cs="Arial"/>
                <w:color w:val="000000"/>
                <w:lang w:val="uk-UA"/>
              </w:rPr>
              <w:t xml:space="preserve">Комісії </w:t>
            </w:r>
            <w:r w:rsidRPr="0014339A">
              <w:rPr>
                <w:rFonts w:ascii="Arial" w:hAnsi="Arial" w:cs="Arial"/>
                <w:color w:val="000000"/>
              </w:rPr>
              <w:t>зовнішньо</w:t>
            </w:r>
            <w:r w:rsidRPr="0014339A">
              <w:rPr>
                <w:rFonts w:ascii="Arial" w:hAnsi="Arial" w:cs="Arial"/>
                <w:color w:val="000000"/>
                <w:lang w:val="uk-UA"/>
              </w:rPr>
              <w:t>ї перевірки</w:t>
            </w:r>
            <w:r w:rsidR="009A7837">
              <w:rPr>
                <w:rFonts w:ascii="Arial" w:hAnsi="Arial" w:cs="Arial"/>
                <w:color w:val="000000"/>
                <w:lang w:val="uk-UA"/>
              </w:rPr>
              <w:t>…………………………………………….</w:t>
            </w:r>
          </w:p>
          <w:p w14:paraId="4F35B2FF"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rPr>
            </w:pPr>
          </w:p>
        </w:tc>
        <w:tc>
          <w:tcPr>
            <w:tcW w:w="900" w:type="dxa"/>
          </w:tcPr>
          <w:p w14:paraId="5A20C63D"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8"/>
                <w:szCs w:val="8"/>
                <w:lang w:val="uk-UA"/>
              </w:rPr>
            </w:pPr>
          </w:p>
          <w:p w14:paraId="3661F7B0" w14:textId="2009EDD1" w:rsidR="00E568A1" w:rsidRPr="0014339A" w:rsidRDefault="00E568A1" w:rsidP="0014339A">
            <w:pPr>
              <w:autoSpaceDE w:val="0"/>
              <w:autoSpaceDN w:val="0"/>
              <w:adjustRightInd w:val="0"/>
              <w:spacing w:after="0" w:line="240" w:lineRule="auto"/>
              <w:jc w:val="right"/>
              <w:rPr>
                <w:rFonts w:ascii="Arial" w:hAnsi="Arial" w:cs="Arial"/>
                <w:bCs/>
                <w:color w:val="000000"/>
                <w:lang w:val="uk-UA"/>
              </w:rPr>
            </w:pPr>
          </w:p>
        </w:tc>
      </w:tr>
      <w:tr w:rsidR="0039136D" w:rsidRPr="0014339A" w14:paraId="27CB0C4A" w14:textId="77777777" w:rsidTr="0014339A">
        <w:tc>
          <w:tcPr>
            <w:tcW w:w="8460" w:type="dxa"/>
          </w:tcPr>
          <w:p w14:paraId="1ADB5FD2"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16"/>
                <w:szCs w:val="16"/>
                <w:lang w:val="uk-UA"/>
              </w:rPr>
            </w:pPr>
          </w:p>
          <w:p w14:paraId="6CF7B73B"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24"/>
                <w:szCs w:val="24"/>
                <w:lang w:val="uk-UA"/>
              </w:rPr>
            </w:pPr>
            <w:r w:rsidRPr="0014339A">
              <w:rPr>
                <w:rFonts w:ascii="Arial" w:hAnsi="Arial" w:cs="Arial"/>
                <w:b/>
                <w:bCs/>
                <w:color w:val="000000"/>
                <w:sz w:val="24"/>
                <w:szCs w:val="24"/>
                <w:lang w:val="uk-UA"/>
              </w:rPr>
              <w:t xml:space="preserve">Список таблиць </w:t>
            </w:r>
          </w:p>
          <w:p w14:paraId="763D3842" w14:textId="77777777" w:rsidR="00E568A1" w:rsidRPr="0014339A" w:rsidRDefault="00E568A1" w:rsidP="0014339A">
            <w:pPr>
              <w:autoSpaceDE w:val="0"/>
              <w:autoSpaceDN w:val="0"/>
              <w:adjustRightInd w:val="0"/>
              <w:spacing w:after="0" w:line="240" w:lineRule="auto"/>
              <w:rPr>
                <w:rFonts w:ascii="Arial" w:hAnsi="Arial" w:cs="Arial"/>
                <w:b/>
                <w:bCs/>
                <w:color w:val="000000"/>
                <w:sz w:val="8"/>
                <w:szCs w:val="8"/>
                <w:lang w:val="en-GB"/>
              </w:rPr>
            </w:pPr>
          </w:p>
        </w:tc>
        <w:tc>
          <w:tcPr>
            <w:tcW w:w="900" w:type="dxa"/>
          </w:tcPr>
          <w:p w14:paraId="25A4367C" w14:textId="77777777" w:rsidR="00E568A1" w:rsidRPr="0014339A" w:rsidRDefault="00E568A1" w:rsidP="0014339A">
            <w:pPr>
              <w:autoSpaceDE w:val="0"/>
              <w:autoSpaceDN w:val="0"/>
              <w:adjustRightInd w:val="0"/>
              <w:spacing w:after="0" w:line="240" w:lineRule="auto"/>
              <w:jc w:val="right"/>
              <w:rPr>
                <w:rFonts w:ascii="Arial" w:hAnsi="Arial" w:cs="Arial"/>
                <w:bCs/>
                <w:color w:val="000000"/>
                <w:lang w:val="uk-UA"/>
              </w:rPr>
            </w:pPr>
          </w:p>
        </w:tc>
      </w:tr>
      <w:tr w:rsidR="0039136D" w:rsidRPr="0014339A" w14:paraId="4668B954" w14:textId="77777777" w:rsidTr="0014339A">
        <w:tc>
          <w:tcPr>
            <w:tcW w:w="8460" w:type="dxa"/>
          </w:tcPr>
          <w:p w14:paraId="33A3332C"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p w14:paraId="16EEF2FB" w14:textId="77777777" w:rsidR="00E568A1" w:rsidRPr="009A7837" w:rsidRDefault="00E568A1" w:rsidP="00ED37DB">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Таблиця 1. С</w:t>
            </w:r>
            <w:r w:rsidRPr="0014339A">
              <w:rPr>
                <w:rFonts w:ascii="Arial" w:hAnsi="Arial" w:cs="Arial"/>
                <w:color w:val="000000"/>
                <w:lang w:val="uk-UA"/>
              </w:rPr>
              <w:t>тислий виклад</w:t>
            </w:r>
            <w:r w:rsidR="00ED37DB">
              <w:rPr>
                <w:rFonts w:ascii="Arial" w:hAnsi="Arial" w:cs="Arial"/>
                <w:color w:val="000000"/>
              </w:rPr>
              <w:t xml:space="preserve"> даних</w:t>
            </w:r>
            <w:r w:rsidRPr="0014339A">
              <w:rPr>
                <w:rFonts w:ascii="Arial" w:hAnsi="Arial" w:cs="Arial"/>
                <w:color w:val="000000"/>
              </w:rPr>
              <w:t xml:space="preserve"> ефективності бедаквіліну при лікуванні мультирезистентного ТБ</w:t>
            </w:r>
            <w:r w:rsidR="009A7837">
              <w:rPr>
                <w:rFonts w:ascii="Arial" w:hAnsi="Arial" w:cs="Arial"/>
                <w:color w:val="000000"/>
                <w:lang w:val="uk-UA"/>
              </w:rPr>
              <w:t>……………………………………………………………………….</w:t>
            </w:r>
          </w:p>
          <w:p w14:paraId="67EC5269"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8"/>
                <w:szCs w:val="8"/>
                <w:lang w:val="uk-UA"/>
              </w:rPr>
            </w:pPr>
          </w:p>
        </w:tc>
        <w:tc>
          <w:tcPr>
            <w:tcW w:w="900" w:type="dxa"/>
          </w:tcPr>
          <w:p w14:paraId="70226E11" w14:textId="77777777" w:rsidR="009A7837" w:rsidRPr="009A7837" w:rsidRDefault="009A7837" w:rsidP="009A7837">
            <w:pPr>
              <w:autoSpaceDE w:val="0"/>
              <w:autoSpaceDN w:val="0"/>
              <w:adjustRightInd w:val="0"/>
              <w:spacing w:after="0" w:line="240" w:lineRule="auto"/>
              <w:jc w:val="right"/>
              <w:rPr>
                <w:rFonts w:ascii="Arial" w:hAnsi="Arial" w:cs="Arial"/>
                <w:bCs/>
                <w:color w:val="000000"/>
                <w:sz w:val="28"/>
                <w:szCs w:val="28"/>
                <w:lang w:val="uk-UA"/>
              </w:rPr>
            </w:pPr>
          </w:p>
          <w:p w14:paraId="73E57FE7" w14:textId="13D12AB0" w:rsidR="00E568A1" w:rsidRPr="0014339A" w:rsidRDefault="009A7837" w:rsidP="009A7837">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6</w:t>
            </w:r>
          </w:p>
        </w:tc>
      </w:tr>
      <w:tr w:rsidR="0039136D" w:rsidRPr="0014339A" w14:paraId="7A0A471D" w14:textId="77777777" w:rsidTr="0014339A">
        <w:tc>
          <w:tcPr>
            <w:tcW w:w="8460" w:type="dxa"/>
          </w:tcPr>
          <w:p w14:paraId="3A9AA176"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p w14:paraId="5930EC74" w14:textId="443AD26A" w:rsidR="00E568A1" w:rsidRPr="009A7837" w:rsidRDefault="00E568A1" w:rsidP="00ED37DB">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Таблиця 2. </w:t>
            </w:r>
            <w:r w:rsidRPr="0014339A">
              <w:rPr>
                <w:rFonts w:ascii="Arial" w:hAnsi="Arial" w:cs="Arial"/>
                <w:color w:val="000000"/>
                <w:lang w:val="uk-UA"/>
              </w:rPr>
              <w:t>Стислий виклад</w:t>
            </w:r>
            <w:r w:rsidR="007D7344">
              <w:rPr>
                <w:rFonts w:ascii="Arial" w:hAnsi="Arial" w:cs="Arial"/>
                <w:color w:val="000000"/>
              </w:rPr>
              <w:t xml:space="preserve"> побічних реакцій, які варті уваги ……………………</w:t>
            </w:r>
            <w:r w:rsidR="00A85200">
              <w:rPr>
                <w:rFonts w:ascii="Arial" w:hAnsi="Arial" w:cs="Arial"/>
                <w:color w:val="000000"/>
                <w:lang w:val="uk-UA"/>
              </w:rPr>
              <w:t>..</w:t>
            </w:r>
            <w:r w:rsidR="00ED37DB">
              <w:rPr>
                <w:rFonts w:ascii="Arial" w:hAnsi="Arial" w:cs="Arial"/>
                <w:color w:val="000000"/>
                <w:lang w:val="uk-UA"/>
              </w:rPr>
              <w:t>…</w:t>
            </w:r>
            <w:r w:rsidR="00703990">
              <w:rPr>
                <w:rFonts w:ascii="Arial" w:hAnsi="Arial" w:cs="Arial"/>
                <w:color w:val="000000"/>
                <w:lang w:val="uk-UA"/>
              </w:rPr>
              <w:t>…</w:t>
            </w:r>
          </w:p>
          <w:p w14:paraId="44EC0E02"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8"/>
                <w:szCs w:val="8"/>
                <w:lang w:val="uk-UA"/>
              </w:rPr>
            </w:pPr>
          </w:p>
        </w:tc>
        <w:tc>
          <w:tcPr>
            <w:tcW w:w="900" w:type="dxa"/>
          </w:tcPr>
          <w:p w14:paraId="2EE243D6"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39512BCE" w14:textId="15907E5D" w:rsidR="00E568A1" w:rsidRPr="0014339A" w:rsidRDefault="009A7837" w:rsidP="00A85200">
            <w:pPr>
              <w:autoSpaceDE w:val="0"/>
              <w:autoSpaceDN w:val="0"/>
              <w:adjustRightInd w:val="0"/>
              <w:spacing w:after="0" w:line="240" w:lineRule="auto"/>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7</w:t>
            </w:r>
          </w:p>
        </w:tc>
      </w:tr>
      <w:tr w:rsidR="0039136D" w:rsidRPr="0014339A" w14:paraId="1BD693DF" w14:textId="77777777" w:rsidTr="0014339A">
        <w:tc>
          <w:tcPr>
            <w:tcW w:w="8460" w:type="dxa"/>
          </w:tcPr>
          <w:p w14:paraId="77571619"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p w14:paraId="62F7B2F1" w14:textId="29EDC227" w:rsidR="00E568A1" w:rsidRPr="007A5DE1" w:rsidRDefault="00E568A1" w:rsidP="007A5DE1">
            <w:pPr>
              <w:widowControl w:val="0"/>
              <w:autoSpaceDE w:val="0"/>
              <w:autoSpaceDN w:val="0"/>
              <w:adjustRightInd w:val="0"/>
              <w:spacing w:after="240" w:line="360" w:lineRule="atLeast"/>
              <w:rPr>
                <w:rFonts w:ascii="Times" w:eastAsia="Calibri" w:hAnsi="Times" w:cs="Times"/>
                <w:color w:val="000000"/>
                <w:sz w:val="24"/>
                <w:szCs w:val="24"/>
                <w:lang w:eastAsia="ru-RU"/>
              </w:rPr>
            </w:pPr>
            <w:r w:rsidRPr="0014339A">
              <w:rPr>
                <w:rFonts w:ascii="Arial" w:hAnsi="Arial" w:cs="Arial"/>
                <w:color w:val="000000"/>
                <w:lang w:val="uk-UA"/>
              </w:rPr>
              <w:t xml:space="preserve">Таблиця 3. </w:t>
            </w:r>
            <w:r w:rsidR="00ED37DB" w:rsidRPr="00703990">
              <w:rPr>
                <w:rFonts w:ascii="Arial" w:hAnsi="Arial" w:cs="Arial"/>
                <w:color w:val="000000"/>
                <w:lang w:val="uk-UA"/>
              </w:rPr>
              <w:t>П</w:t>
            </w:r>
            <w:r w:rsidR="00B51CFB" w:rsidRPr="00703990">
              <w:rPr>
                <w:rFonts w:ascii="Arial" w:hAnsi="Arial" w:cs="Arial"/>
                <w:color w:val="000000"/>
                <w:lang w:val="uk-UA"/>
              </w:rPr>
              <w:t>одовження</w:t>
            </w:r>
            <w:r w:rsidRPr="00703990">
              <w:rPr>
                <w:rFonts w:ascii="Arial" w:hAnsi="Arial" w:cs="Arial"/>
                <w:color w:val="000000"/>
                <w:lang w:val="uk-UA"/>
              </w:rPr>
              <w:t xml:space="preserve"> </w:t>
            </w:r>
            <w:r w:rsidR="00ED37DB" w:rsidRPr="00703990">
              <w:rPr>
                <w:rFonts w:ascii="Arial" w:hAnsi="Arial" w:cs="Arial"/>
                <w:color w:val="000000"/>
                <w:lang w:val="uk-UA"/>
              </w:rPr>
              <w:t xml:space="preserve">інтервалу </w:t>
            </w:r>
            <w:r w:rsidR="00ED37DB" w:rsidRPr="00703990">
              <w:rPr>
                <w:rFonts w:ascii="Arial" w:hAnsi="Arial" w:cs="Arial"/>
                <w:color w:val="000000"/>
                <w:lang w:val="en-US"/>
              </w:rPr>
              <w:t>QT</w:t>
            </w:r>
            <w:r w:rsidRPr="00703990">
              <w:rPr>
                <w:rFonts w:ascii="Arial" w:hAnsi="Arial" w:cs="Arial"/>
                <w:color w:val="000000"/>
                <w:lang w:val="uk-UA"/>
              </w:rPr>
              <w:t xml:space="preserve"> </w:t>
            </w:r>
            <w:r w:rsidR="00ED37DB" w:rsidRPr="00703990">
              <w:rPr>
                <w:rFonts w:ascii="Arial" w:hAnsi="Arial" w:cs="Arial"/>
                <w:color w:val="000000"/>
                <w:lang w:val="uk-UA"/>
              </w:rPr>
              <w:t>протягом</w:t>
            </w:r>
            <w:r w:rsidRPr="00703990">
              <w:rPr>
                <w:rFonts w:ascii="Arial" w:hAnsi="Arial" w:cs="Arial"/>
                <w:color w:val="000000"/>
                <w:lang w:val="uk-UA"/>
              </w:rPr>
              <w:t xml:space="preserve"> лікування, </w:t>
            </w:r>
            <w:r w:rsidR="007A5DE1" w:rsidRPr="00703990">
              <w:rPr>
                <w:rFonts w:ascii="Arial" w:hAnsi="Arial" w:cs="Arial"/>
                <w:color w:val="000000"/>
                <w:lang w:val="uk-UA"/>
              </w:rPr>
              <w:t xml:space="preserve">у порівнянні до </w:t>
            </w:r>
            <w:r w:rsidR="000C3A63" w:rsidRPr="00703990">
              <w:rPr>
                <w:rFonts w:ascii="Arial" w:hAnsi="Arial" w:cs="Arial"/>
                <w:color w:val="000000"/>
                <w:lang w:val="uk-UA"/>
              </w:rPr>
              <w:t>на</w:t>
            </w:r>
            <w:r w:rsidR="00B51CFB" w:rsidRPr="00703990">
              <w:rPr>
                <w:rFonts w:ascii="Arial" w:hAnsi="Arial" w:cs="Arial"/>
                <w:color w:val="000000"/>
                <w:lang w:val="uk-UA"/>
              </w:rPr>
              <w:t>й</w:t>
            </w:r>
            <w:r w:rsidR="000C3A63" w:rsidRPr="00703990">
              <w:rPr>
                <w:rFonts w:ascii="Arial" w:hAnsi="Arial" w:cs="Arial"/>
                <w:color w:val="000000"/>
                <w:lang w:val="uk-UA"/>
              </w:rPr>
              <w:t xml:space="preserve">грішого </w:t>
            </w:r>
            <w:r w:rsidR="007A5DE1" w:rsidRPr="00703990">
              <w:rPr>
                <w:rFonts w:ascii="Times" w:eastAsia="Calibri" w:hAnsi="Times" w:cs="Times"/>
                <w:bCs/>
                <w:color w:val="000000"/>
                <w:sz w:val="24"/>
                <w:szCs w:val="24"/>
                <w:lang w:eastAsia="ru-RU"/>
              </w:rPr>
              <w:t>QTcF</w:t>
            </w:r>
            <w:r w:rsidR="007A5DE1" w:rsidRPr="00703990">
              <w:rPr>
                <w:rFonts w:ascii="Times" w:eastAsia="Calibri" w:hAnsi="Times" w:cs="Times"/>
                <w:b/>
                <w:bCs/>
                <w:color w:val="000000"/>
                <w:sz w:val="32"/>
                <w:szCs w:val="32"/>
                <w:lang w:eastAsia="ru-RU"/>
              </w:rPr>
              <w:t xml:space="preserve"> </w:t>
            </w:r>
            <w:r w:rsidR="00ED37DB" w:rsidRPr="00703990">
              <w:rPr>
                <w:rFonts w:ascii="Arial" w:hAnsi="Arial" w:cs="Arial"/>
                <w:color w:val="000000"/>
                <w:lang w:val="uk-UA"/>
              </w:rPr>
              <w:t>………………..</w:t>
            </w:r>
            <w:r w:rsidR="009A7837" w:rsidRPr="00703990">
              <w:rPr>
                <w:rFonts w:ascii="Arial" w:hAnsi="Arial" w:cs="Arial"/>
                <w:color w:val="000000"/>
                <w:lang w:val="uk-UA"/>
              </w:rPr>
              <w:t>…</w:t>
            </w:r>
            <w:r w:rsidR="00703990">
              <w:rPr>
                <w:rFonts w:ascii="Arial" w:hAnsi="Arial" w:cs="Arial"/>
                <w:color w:val="000000"/>
                <w:lang w:val="uk-UA"/>
              </w:rPr>
              <w:t>……………………………………………………………</w:t>
            </w:r>
          </w:p>
          <w:p w14:paraId="5398BD1D"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8"/>
                <w:szCs w:val="8"/>
                <w:lang w:val="uk-UA"/>
              </w:rPr>
            </w:pPr>
          </w:p>
        </w:tc>
        <w:tc>
          <w:tcPr>
            <w:tcW w:w="900" w:type="dxa"/>
          </w:tcPr>
          <w:p w14:paraId="259BDB27"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673323EF" w14:textId="77777777" w:rsidR="00ED37DB" w:rsidRDefault="00ED37DB" w:rsidP="0014339A">
            <w:pPr>
              <w:autoSpaceDE w:val="0"/>
              <w:autoSpaceDN w:val="0"/>
              <w:adjustRightInd w:val="0"/>
              <w:spacing w:after="0" w:line="240" w:lineRule="auto"/>
              <w:jc w:val="right"/>
              <w:rPr>
                <w:rFonts w:ascii="Arial" w:hAnsi="Arial" w:cs="Arial"/>
                <w:bCs/>
                <w:color w:val="000000"/>
                <w:lang w:val="uk-UA"/>
              </w:rPr>
            </w:pPr>
          </w:p>
          <w:p w14:paraId="2FF66D94" w14:textId="08F87847" w:rsidR="00E568A1" w:rsidRPr="0014339A" w:rsidRDefault="009A7837"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8</w:t>
            </w:r>
          </w:p>
        </w:tc>
      </w:tr>
      <w:tr w:rsidR="0039136D" w:rsidRPr="0014339A" w14:paraId="31720A69" w14:textId="77777777" w:rsidTr="0014339A">
        <w:tc>
          <w:tcPr>
            <w:tcW w:w="8460" w:type="dxa"/>
          </w:tcPr>
          <w:p w14:paraId="45CDC429" w14:textId="7B67E4B3" w:rsidR="00E568A1" w:rsidRPr="0014339A" w:rsidRDefault="00E568A1" w:rsidP="00ED37DB">
            <w:pPr>
              <w:autoSpaceDE w:val="0"/>
              <w:autoSpaceDN w:val="0"/>
              <w:adjustRightInd w:val="0"/>
              <w:spacing w:after="0" w:line="240" w:lineRule="auto"/>
              <w:rPr>
                <w:rFonts w:ascii="Arial" w:hAnsi="Arial" w:cs="Arial"/>
                <w:b/>
                <w:bCs/>
                <w:color w:val="000000"/>
                <w:sz w:val="8"/>
                <w:szCs w:val="8"/>
                <w:lang w:val="uk-UA"/>
              </w:rPr>
            </w:pPr>
            <w:r w:rsidRPr="0014339A">
              <w:rPr>
                <w:rFonts w:ascii="Arial" w:hAnsi="Arial" w:cs="Arial"/>
                <w:color w:val="000000"/>
              </w:rPr>
              <w:t>Табл</w:t>
            </w:r>
            <w:r w:rsidR="00ED37DB">
              <w:rPr>
                <w:rFonts w:ascii="Arial" w:hAnsi="Arial" w:cs="Arial"/>
                <w:color w:val="000000"/>
              </w:rPr>
              <w:t xml:space="preserve">иця 4. </w:t>
            </w:r>
            <w:r w:rsidR="00C04625">
              <w:rPr>
                <w:rFonts w:ascii="Arial" w:hAnsi="Arial" w:cs="Arial"/>
                <w:color w:val="000000"/>
                <w:lang w:val="uk-UA"/>
              </w:rPr>
              <w:t>Побічні реакції</w:t>
            </w:r>
            <w:r w:rsidR="00C04625" w:rsidRPr="00C04625">
              <w:rPr>
                <w:rFonts w:ascii="Arial" w:hAnsi="Arial" w:cs="Arial"/>
                <w:color w:val="000000"/>
                <w:lang w:val="uk-UA"/>
              </w:rPr>
              <w:t xml:space="preserve"> зі сторони печінки</w:t>
            </w:r>
            <w:r w:rsidR="00ED37DB">
              <w:rPr>
                <w:rFonts w:ascii="Arial" w:hAnsi="Arial" w:cs="Arial"/>
                <w:color w:val="000000"/>
                <w:lang w:val="uk-UA"/>
              </w:rPr>
              <w:t xml:space="preserve"> </w:t>
            </w:r>
            <w:r w:rsidR="00C04625">
              <w:rPr>
                <w:rFonts w:ascii="Arial" w:hAnsi="Arial" w:cs="Arial"/>
                <w:color w:val="000000"/>
                <w:lang w:val="uk-UA"/>
              </w:rPr>
              <w:t xml:space="preserve">повідомлені </w:t>
            </w:r>
            <w:r w:rsidR="00ED37DB">
              <w:rPr>
                <w:rFonts w:ascii="Arial" w:hAnsi="Arial" w:cs="Arial"/>
                <w:color w:val="000000"/>
              </w:rPr>
              <w:t>дослідник</w:t>
            </w:r>
            <w:r w:rsidR="00C04625">
              <w:rPr>
                <w:rFonts w:ascii="Arial" w:hAnsi="Arial" w:cs="Arial"/>
                <w:color w:val="000000"/>
              </w:rPr>
              <w:t xml:space="preserve">ом </w:t>
            </w:r>
            <w:r w:rsidR="00ED37DB">
              <w:rPr>
                <w:rFonts w:ascii="Arial" w:hAnsi="Arial" w:cs="Arial"/>
                <w:color w:val="000000"/>
                <w:lang w:val="uk-UA"/>
              </w:rPr>
              <w:t>…………</w:t>
            </w:r>
            <w:r w:rsidR="00703990">
              <w:rPr>
                <w:rFonts w:ascii="Arial" w:hAnsi="Arial" w:cs="Arial"/>
                <w:color w:val="000000"/>
                <w:lang w:val="uk-UA"/>
              </w:rPr>
              <w:t>…..</w:t>
            </w:r>
          </w:p>
        </w:tc>
        <w:tc>
          <w:tcPr>
            <w:tcW w:w="900" w:type="dxa"/>
          </w:tcPr>
          <w:p w14:paraId="01EB3429"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373CC583" w14:textId="6E0751C7" w:rsidR="00E568A1" w:rsidRPr="0014339A" w:rsidRDefault="009A7837"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8</w:t>
            </w:r>
          </w:p>
        </w:tc>
      </w:tr>
      <w:tr w:rsidR="0039136D" w:rsidRPr="0014339A" w14:paraId="21F3E74D" w14:textId="77777777" w:rsidTr="0014339A">
        <w:tc>
          <w:tcPr>
            <w:tcW w:w="8460" w:type="dxa"/>
          </w:tcPr>
          <w:p w14:paraId="7F062420"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p w14:paraId="29A4D27E" w14:textId="33CC1CD6" w:rsidR="00E568A1" w:rsidRPr="009A7837" w:rsidRDefault="00E568A1" w:rsidP="00ED37DB">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Таблиця 5. </w:t>
            </w:r>
            <w:r w:rsidR="00C04625">
              <w:rPr>
                <w:rFonts w:ascii="Arial" w:hAnsi="Arial" w:cs="Arial"/>
                <w:color w:val="000000"/>
              </w:rPr>
              <w:t xml:space="preserve">Клінічне </w:t>
            </w:r>
            <w:r w:rsidR="00C04625">
              <w:rPr>
                <w:rFonts w:ascii="Arial" w:hAnsi="Arial" w:cs="Arial"/>
                <w:color w:val="000000"/>
                <w:lang w:val="uk-UA"/>
              </w:rPr>
              <w:t>д</w:t>
            </w:r>
            <w:r w:rsidR="00ED37DB">
              <w:rPr>
                <w:rFonts w:ascii="Arial" w:hAnsi="Arial" w:cs="Arial"/>
                <w:color w:val="000000"/>
                <w:lang w:val="uk-UA"/>
              </w:rPr>
              <w:t>ослідження С208</w:t>
            </w:r>
            <w:r w:rsidR="00C04625">
              <w:rPr>
                <w:rFonts w:ascii="Arial" w:hAnsi="Arial" w:cs="Arial"/>
                <w:color w:val="000000"/>
                <w:lang w:val="uk-UA"/>
              </w:rPr>
              <w:t>, 2 етап</w:t>
            </w:r>
            <w:r w:rsidR="00ED37DB">
              <w:rPr>
                <w:rFonts w:ascii="Arial" w:hAnsi="Arial" w:cs="Arial"/>
                <w:color w:val="000000"/>
              </w:rPr>
              <w:t>: п</w:t>
            </w:r>
            <w:r w:rsidRPr="0014339A">
              <w:rPr>
                <w:rFonts w:ascii="Arial" w:hAnsi="Arial" w:cs="Arial"/>
                <w:color w:val="000000"/>
              </w:rPr>
              <w:t>ричини смерті</w:t>
            </w:r>
            <w:r w:rsidR="009A7837">
              <w:rPr>
                <w:rFonts w:ascii="Arial" w:hAnsi="Arial" w:cs="Arial"/>
                <w:color w:val="000000"/>
                <w:lang w:val="uk-UA"/>
              </w:rPr>
              <w:t>……</w:t>
            </w:r>
            <w:r w:rsidR="00ED37DB">
              <w:rPr>
                <w:rFonts w:ascii="Arial" w:hAnsi="Arial" w:cs="Arial"/>
                <w:color w:val="000000"/>
                <w:lang w:val="uk-UA"/>
              </w:rPr>
              <w:t>….</w:t>
            </w:r>
            <w:r w:rsidR="009A7837">
              <w:rPr>
                <w:rFonts w:ascii="Arial" w:hAnsi="Arial" w:cs="Arial"/>
                <w:color w:val="000000"/>
                <w:lang w:val="uk-UA"/>
              </w:rPr>
              <w:t>……</w:t>
            </w:r>
            <w:r w:rsidR="00703990">
              <w:rPr>
                <w:rFonts w:ascii="Arial" w:hAnsi="Arial" w:cs="Arial"/>
                <w:color w:val="000000"/>
                <w:lang w:val="uk-UA"/>
              </w:rPr>
              <w:t>………….</w:t>
            </w:r>
          </w:p>
          <w:p w14:paraId="332BF0C9" w14:textId="77777777" w:rsidR="00E568A1" w:rsidRPr="0014339A" w:rsidRDefault="00E568A1" w:rsidP="0014339A">
            <w:pPr>
              <w:autoSpaceDE w:val="0"/>
              <w:autoSpaceDN w:val="0"/>
              <w:adjustRightInd w:val="0"/>
              <w:spacing w:after="0" w:line="240" w:lineRule="auto"/>
              <w:jc w:val="both"/>
              <w:rPr>
                <w:rFonts w:ascii="Arial" w:hAnsi="Arial" w:cs="Arial"/>
                <w:b/>
                <w:bCs/>
                <w:color w:val="000000"/>
                <w:sz w:val="8"/>
                <w:szCs w:val="8"/>
                <w:lang w:val="uk-UA"/>
              </w:rPr>
            </w:pPr>
          </w:p>
        </w:tc>
        <w:tc>
          <w:tcPr>
            <w:tcW w:w="900" w:type="dxa"/>
          </w:tcPr>
          <w:p w14:paraId="37C10DA9"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0435E08B" w14:textId="0CC4EFB7" w:rsidR="00E568A1" w:rsidRPr="0014339A" w:rsidRDefault="009A7837"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2</w:t>
            </w:r>
            <w:r w:rsidR="00703990">
              <w:rPr>
                <w:rFonts w:ascii="Arial" w:hAnsi="Arial" w:cs="Arial"/>
                <w:bCs/>
                <w:color w:val="000000"/>
                <w:lang w:val="uk-UA"/>
              </w:rPr>
              <w:t>9</w:t>
            </w:r>
          </w:p>
        </w:tc>
      </w:tr>
      <w:tr w:rsidR="0039136D" w:rsidRPr="0014339A" w14:paraId="34AB40FB" w14:textId="77777777" w:rsidTr="0014339A">
        <w:tc>
          <w:tcPr>
            <w:tcW w:w="8460" w:type="dxa"/>
          </w:tcPr>
          <w:p w14:paraId="24FD2E4B" w14:textId="77777777" w:rsidR="00E568A1" w:rsidRPr="0014339A" w:rsidRDefault="00E568A1" w:rsidP="0014339A">
            <w:pPr>
              <w:autoSpaceDE w:val="0"/>
              <w:autoSpaceDN w:val="0"/>
              <w:adjustRightInd w:val="0"/>
              <w:spacing w:after="0" w:line="240" w:lineRule="auto"/>
              <w:rPr>
                <w:rFonts w:ascii="Arial" w:hAnsi="Arial" w:cs="Arial"/>
                <w:color w:val="000000"/>
                <w:sz w:val="8"/>
                <w:szCs w:val="8"/>
                <w:lang w:val="uk-UA"/>
              </w:rPr>
            </w:pPr>
          </w:p>
          <w:p w14:paraId="1FE5CB5D" w14:textId="77777777" w:rsidR="00E568A1" w:rsidRPr="0014339A" w:rsidRDefault="00E568A1" w:rsidP="0014339A">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rPr>
              <w:t xml:space="preserve">Таблиця 6. Протитуберкульозні </w:t>
            </w:r>
            <w:r w:rsidR="00ED37DB">
              <w:rPr>
                <w:rFonts w:ascii="Arial" w:hAnsi="Arial" w:cs="Arial"/>
                <w:color w:val="000000"/>
                <w:lang w:val="uk-UA"/>
              </w:rPr>
              <w:t xml:space="preserve">лікарські </w:t>
            </w:r>
            <w:r w:rsidRPr="0014339A">
              <w:rPr>
                <w:rFonts w:ascii="Arial" w:hAnsi="Arial" w:cs="Arial"/>
                <w:color w:val="000000"/>
              </w:rPr>
              <w:t xml:space="preserve">засоби для лікування чутливого </w:t>
            </w:r>
            <w:r w:rsidRPr="0014339A">
              <w:rPr>
                <w:rFonts w:ascii="Arial" w:hAnsi="Arial" w:cs="Arial"/>
                <w:color w:val="000000"/>
                <w:lang w:val="uk-UA"/>
              </w:rPr>
              <w:t xml:space="preserve">та </w:t>
            </w:r>
          </w:p>
          <w:p w14:paraId="4DB779A3" w14:textId="3103D161" w:rsidR="00E568A1" w:rsidRPr="00ED37DB" w:rsidRDefault="00E568A1" w:rsidP="00ED37DB">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lang w:val="uk-UA"/>
              </w:rPr>
              <w:t xml:space="preserve">стійкого до </w:t>
            </w:r>
            <w:r w:rsidR="00C04625">
              <w:rPr>
                <w:rFonts w:ascii="Arial" w:hAnsi="Arial" w:cs="Arial"/>
                <w:color w:val="000000"/>
                <w:lang w:val="uk-UA"/>
              </w:rPr>
              <w:t>ліків</w:t>
            </w:r>
            <w:r w:rsidRPr="0014339A">
              <w:rPr>
                <w:rFonts w:ascii="Arial" w:hAnsi="Arial" w:cs="Arial"/>
                <w:color w:val="000000"/>
                <w:lang w:val="uk-UA"/>
              </w:rPr>
              <w:t xml:space="preserve"> туберкульозу</w:t>
            </w:r>
            <w:r w:rsidR="009A7837">
              <w:rPr>
                <w:rFonts w:ascii="Arial" w:hAnsi="Arial" w:cs="Arial"/>
                <w:color w:val="000000"/>
                <w:lang w:val="uk-UA"/>
              </w:rPr>
              <w:t>………………………………………………</w:t>
            </w:r>
            <w:r w:rsidR="00ED37DB">
              <w:rPr>
                <w:rFonts w:ascii="Arial" w:hAnsi="Arial" w:cs="Arial"/>
                <w:color w:val="000000"/>
                <w:lang w:val="uk-UA"/>
              </w:rPr>
              <w:t>…………</w:t>
            </w:r>
            <w:r w:rsidR="00703990">
              <w:rPr>
                <w:rFonts w:ascii="Arial" w:hAnsi="Arial" w:cs="Arial"/>
                <w:color w:val="000000"/>
                <w:lang w:val="uk-UA"/>
              </w:rPr>
              <w:t>………</w:t>
            </w:r>
          </w:p>
        </w:tc>
        <w:tc>
          <w:tcPr>
            <w:tcW w:w="900" w:type="dxa"/>
          </w:tcPr>
          <w:p w14:paraId="12C24DAA" w14:textId="77777777" w:rsidR="009A7837" w:rsidRDefault="009A7837" w:rsidP="0014339A">
            <w:pPr>
              <w:autoSpaceDE w:val="0"/>
              <w:autoSpaceDN w:val="0"/>
              <w:adjustRightInd w:val="0"/>
              <w:spacing w:after="0" w:line="240" w:lineRule="auto"/>
              <w:jc w:val="right"/>
              <w:rPr>
                <w:rFonts w:ascii="Arial" w:hAnsi="Arial" w:cs="Arial"/>
                <w:bCs/>
                <w:color w:val="000000"/>
                <w:lang w:val="uk-UA"/>
              </w:rPr>
            </w:pPr>
          </w:p>
          <w:p w14:paraId="432A385E"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45C13E2C" w14:textId="29071776" w:rsidR="00E568A1" w:rsidRDefault="00703990"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31</w:t>
            </w:r>
          </w:p>
          <w:p w14:paraId="217AF787" w14:textId="77777777" w:rsidR="009A7837" w:rsidRDefault="009A7837" w:rsidP="0014339A">
            <w:pPr>
              <w:autoSpaceDE w:val="0"/>
              <w:autoSpaceDN w:val="0"/>
              <w:adjustRightInd w:val="0"/>
              <w:spacing w:after="0" w:line="240" w:lineRule="auto"/>
              <w:jc w:val="right"/>
              <w:rPr>
                <w:rFonts w:ascii="Arial" w:hAnsi="Arial" w:cs="Arial"/>
                <w:bCs/>
                <w:color w:val="000000"/>
                <w:lang w:val="uk-UA"/>
              </w:rPr>
            </w:pPr>
          </w:p>
          <w:p w14:paraId="0576ABD8"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tc>
      </w:tr>
      <w:tr w:rsidR="0039136D" w:rsidRPr="00ED37DB" w14:paraId="527CAB3C" w14:textId="77777777" w:rsidTr="0014339A">
        <w:tc>
          <w:tcPr>
            <w:tcW w:w="8460" w:type="dxa"/>
          </w:tcPr>
          <w:p w14:paraId="28E8A9E9" w14:textId="7832F6DB" w:rsidR="00E568A1" w:rsidRPr="0014339A" w:rsidRDefault="00E568A1" w:rsidP="00ED37DB">
            <w:pPr>
              <w:autoSpaceDE w:val="0"/>
              <w:autoSpaceDN w:val="0"/>
              <w:adjustRightInd w:val="0"/>
              <w:spacing w:after="0" w:line="240" w:lineRule="auto"/>
              <w:rPr>
                <w:rFonts w:ascii="Arial" w:hAnsi="Arial" w:cs="Arial"/>
                <w:color w:val="000000"/>
                <w:lang w:val="uk-UA"/>
              </w:rPr>
            </w:pPr>
            <w:r w:rsidRPr="0014339A">
              <w:rPr>
                <w:rFonts w:ascii="Arial" w:hAnsi="Arial" w:cs="Arial"/>
                <w:color w:val="000000"/>
                <w:lang w:val="uk-UA"/>
              </w:rPr>
              <w:lastRenderedPageBreak/>
              <w:t xml:space="preserve">Таблиця 7. </w:t>
            </w:r>
            <w:r w:rsidR="00C04625">
              <w:rPr>
                <w:rFonts w:ascii="Arial" w:hAnsi="Arial" w:cs="Arial"/>
                <w:color w:val="000000"/>
                <w:lang w:val="uk-UA"/>
              </w:rPr>
              <w:t>Зведені профілі доказів</w:t>
            </w:r>
            <w:r w:rsidRPr="0014339A">
              <w:rPr>
                <w:rFonts w:ascii="Arial" w:hAnsi="Arial" w:cs="Arial"/>
                <w:color w:val="000000"/>
                <w:lang w:val="uk-UA"/>
              </w:rPr>
              <w:t xml:space="preserve"> </w:t>
            </w:r>
            <w:r w:rsidRPr="0014339A">
              <w:rPr>
                <w:rFonts w:ascii="Arial" w:hAnsi="Arial" w:cs="Arial"/>
                <w:color w:val="000000"/>
                <w:lang w:val="en-US"/>
              </w:rPr>
              <w:t>GRADE</w:t>
            </w:r>
            <w:r w:rsidR="00ED37DB">
              <w:rPr>
                <w:rFonts w:ascii="Arial" w:hAnsi="Arial" w:cs="Arial"/>
                <w:color w:val="000000"/>
                <w:lang w:val="uk-UA"/>
              </w:rPr>
              <w:t>.....................................</w:t>
            </w:r>
            <w:r w:rsidR="00C04625">
              <w:rPr>
                <w:rFonts w:ascii="Arial" w:hAnsi="Arial" w:cs="Arial"/>
                <w:color w:val="000000"/>
                <w:lang w:val="uk-UA"/>
              </w:rPr>
              <w:t>............................</w:t>
            </w:r>
          </w:p>
          <w:p w14:paraId="00CB297D"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tc>
        <w:tc>
          <w:tcPr>
            <w:tcW w:w="900" w:type="dxa"/>
          </w:tcPr>
          <w:p w14:paraId="0D034BB9" w14:textId="18C7AAC2" w:rsidR="00E568A1" w:rsidRPr="0014339A" w:rsidRDefault="009A7837"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3</w:t>
            </w:r>
            <w:r w:rsidR="00703990">
              <w:rPr>
                <w:rFonts w:ascii="Arial" w:hAnsi="Arial" w:cs="Arial"/>
                <w:bCs/>
                <w:color w:val="000000"/>
                <w:lang w:val="uk-UA"/>
              </w:rPr>
              <w:t>9</w:t>
            </w:r>
          </w:p>
        </w:tc>
      </w:tr>
      <w:tr w:rsidR="0039136D" w:rsidRPr="00ED37DB" w14:paraId="2EED2DDD" w14:textId="77777777" w:rsidTr="0014339A">
        <w:tc>
          <w:tcPr>
            <w:tcW w:w="8460" w:type="dxa"/>
          </w:tcPr>
          <w:p w14:paraId="13C1F687" w14:textId="77777777" w:rsidR="00E568A1" w:rsidRPr="0014339A" w:rsidRDefault="00E568A1" w:rsidP="0014339A">
            <w:pPr>
              <w:autoSpaceDE w:val="0"/>
              <w:autoSpaceDN w:val="0"/>
              <w:adjustRightInd w:val="0"/>
              <w:spacing w:after="0" w:line="240" w:lineRule="auto"/>
              <w:jc w:val="both"/>
              <w:rPr>
                <w:rFonts w:ascii="Arial" w:hAnsi="Arial" w:cs="Arial"/>
                <w:color w:val="000000"/>
                <w:sz w:val="8"/>
                <w:szCs w:val="8"/>
                <w:lang w:val="uk-UA"/>
              </w:rPr>
            </w:pPr>
          </w:p>
          <w:p w14:paraId="131B4D0C" w14:textId="57E48DA3" w:rsidR="00E568A1" w:rsidRPr="0014339A" w:rsidRDefault="00E568A1" w:rsidP="0014339A">
            <w:pPr>
              <w:autoSpaceDE w:val="0"/>
              <w:autoSpaceDN w:val="0"/>
              <w:adjustRightInd w:val="0"/>
              <w:spacing w:after="0" w:line="240" w:lineRule="auto"/>
              <w:jc w:val="both"/>
              <w:rPr>
                <w:rFonts w:ascii="Arial" w:hAnsi="Arial" w:cs="Arial"/>
                <w:color w:val="000000"/>
                <w:lang w:val="uk-UA"/>
              </w:rPr>
            </w:pPr>
            <w:r w:rsidRPr="0014339A">
              <w:rPr>
                <w:rFonts w:ascii="Arial" w:hAnsi="Arial" w:cs="Arial"/>
                <w:color w:val="000000"/>
                <w:lang w:val="uk-UA"/>
              </w:rPr>
              <w:t xml:space="preserve">Таблиця 8. </w:t>
            </w:r>
            <w:r w:rsidR="00C04625">
              <w:rPr>
                <w:rFonts w:ascii="Arial" w:hAnsi="Arial" w:cs="Arial"/>
                <w:color w:val="000000"/>
                <w:lang w:val="uk-UA"/>
              </w:rPr>
              <w:t xml:space="preserve">Докази </w:t>
            </w:r>
            <w:r w:rsidRPr="0014339A">
              <w:rPr>
                <w:rFonts w:ascii="Arial" w:hAnsi="Arial" w:cs="Arial"/>
                <w:color w:val="000000"/>
                <w:lang w:val="en-US"/>
              </w:rPr>
              <w:t>GRADE</w:t>
            </w:r>
            <w:r w:rsidRPr="0014339A">
              <w:rPr>
                <w:rFonts w:ascii="Arial" w:hAnsi="Arial" w:cs="Arial"/>
                <w:color w:val="000000"/>
                <w:lang w:val="uk-UA"/>
              </w:rPr>
              <w:t xml:space="preserve"> для </w:t>
            </w:r>
            <w:r w:rsidR="00C04625">
              <w:rPr>
                <w:rFonts w:ascii="Arial" w:hAnsi="Arial" w:cs="Arial"/>
                <w:color w:val="000000"/>
                <w:lang w:val="uk-UA"/>
              </w:rPr>
              <w:t>розробки рекомендацій……………………………</w:t>
            </w:r>
            <w:r w:rsidR="00703990">
              <w:rPr>
                <w:rFonts w:ascii="Arial" w:hAnsi="Arial" w:cs="Arial"/>
                <w:color w:val="000000"/>
                <w:lang w:val="uk-UA"/>
              </w:rPr>
              <w:t>…..</w:t>
            </w:r>
          </w:p>
          <w:p w14:paraId="19677B16" w14:textId="77777777" w:rsidR="00E568A1" w:rsidRPr="00ED37DB" w:rsidRDefault="00E568A1" w:rsidP="0014339A">
            <w:pPr>
              <w:autoSpaceDE w:val="0"/>
              <w:autoSpaceDN w:val="0"/>
              <w:adjustRightInd w:val="0"/>
              <w:spacing w:after="0" w:line="240" w:lineRule="auto"/>
              <w:jc w:val="both"/>
              <w:rPr>
                <w:rFonts w:ascii="Arial" w:hAnsi="Arial" w:cs="Arial"/>
                <w:color w:val="000000"/>
                <w:sz w:val="8"/>
                <w:szCs w:val="8"/>
                <w:lang w:val="uk-UA"/>
              </w:rPr>
            </w:pPr>
          </w:p>
        </w:tc>
        <w:tc>
          <w:tcPr>
            <w:tcW w:w="900" w:type="dxa"/>
          </w:tcPr>
          <w:p w14:paraId="31E9B789" w14:textId="77777777" w:rsidR="009A7837" w:rsidRPr="009A7837" w:rsidRDefault="009A7837" w:rsidP="0014339A">
            <w:pPr>
              <w:autoSpaceDE w:val="0"/>
              <w:autoSpaceDN w:val="0"/>
              <w:adjustRightInd w:val="0"/>
              <w:spacing w:after="0" w:line="240" w:lineRule="auto"/>
              <w:jc w:val="right"/>
              <w:rPr>
                <w:rFonts w:ascii="Arial" w:hAnsi="Arial" w:cs="Arial"/>
                <w:bCs/>
                <w:color w:val="000000"/>
                <w:sz w:val="6"/>
                <w:szCs w:val="6"/>
                <w:lang w:val="uk-UA"/>
              </w:rPr>
            </w:pPr>
          </w:p>
          <w:p w14:paraId="6E32D39D" w14:textId="5F6F727C" w:rsidR="00E568A1" w:rsidRPr="0014339A" w:rsidRDefault="009A7837" w:rsidP="0014339A">
            <w:pPr>
              <w:autoSpaceDE w:val="0"/>
              <w:autoSpaceDN w:val="0"/>
              <w:adjustRightInd w:val="0"/>
              <w:spacing w:after="0" w:line="240" w:lineRule="auto"/>
              <w:jc w:val="right"/>
              <w:rPr>
                <w:rFonts w:ascii="Arial" w:hAnsi="Arial" w:cs="Arial"/>
                <w:bCs/>
                <w:color w:val="000000"/>
                <w:lang w:val="uk-UA"/>
              </w:rPr>
            </w:pPr>
            <w:r>
              <w:rPr>
                <w:rFonts w:ascii="Arial" w:hAnsi="Arial" w:cs="Arial"/>
                <w:bCs/>
                <w:color w:val="000000"/>
                <w:lang w:val="uk-UA"/>
              </w:rPr>
              <w:t>4</w:t>
            </w:r>
            <w:r w:rsidR="00703990">
              <w:rPr>
                <w:rFonts w:ascii="Arial" w:hAnsi="Arial" w:cs="Arial"/>
                <w:bCs/>
                <w:color w:val="000000"/>
                <w:lang w:val="uk-UA"/>
              </w:rPr>
              <w:t>1</w:t>
            </w:r>
          </w:p>
        </w:tc>
      </w:tr>
    </w:tbl>
    <w:p w14:paraId="5EE76F63" w14:textId="77777777" w:rsidR="00C04625" w:rsidRDefault="00E568A1" w:rsidP="0037724F">
      <w:pPr>
        <w:autoSpaceDE w:val="0"/>
        <w:autoSpaceDN w:val="0"/>
        <w:adjustRightInd w:val="0"/>
        <w:spacing w:after="0" w:line="240" w:lineRule="auto"/>
        <w:jc w:val="both"/>
        <w:rPr>
          <w:rFonts w:ascii="Arial" w:hAnsi="Arial" w:cs="Arial"/>
          <w:color w:val="FFFFFF"/>
          <w:lang w:val="uk-UA"/>
        </w:rPr>
      </w:pPr>
      <w:r w:rsidRPr="00ED37DB">
        <w:rPr>
          <w:rFonts w:ascii="Arial" w:hAnsi="Arial" w:cs="Arial"/>
          <w:color w:val="FFFFFF"/>
          <w:lang w:val="uk-UA"/>
        </w:rPr>
        <w:t>1</w:t>
      </w:r>
    </w:p>
    <w:p w14:paraId="435039D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7C73295"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2FEC83A7"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F836B85"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FC09C98"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B442D70"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319000B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C7792CA"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2473F54"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52553B60"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2AD3C51E"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93DD150"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393B37D"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459C2EB"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2975245"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23BCA95"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AD75B5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2D9208D"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EC299A4"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2A8CE8F1"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AD1408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8A4CF0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5A85AD2"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56B12B77"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5DD53C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6E35061"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98F92B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3FBA16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76D194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3F70BA7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2ADA3F1"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3A775068"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E54894A"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5C2397C0"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5C817F9C"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F095BDC"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5515FF1B"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7E89622"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40D482B3"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33A6D988"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22F3FB58"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04FE16A5"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22B769D9"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1645C42"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3234332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79C586F"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63F9634D"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1637E06"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10E6B274" w14:textId="77777777" w:rsidR="00C04625" w:rsidRDefault="00C04625" w:rsidP="0037724F">
      <w:pPr>
        <w:autoSpaceDE w:val="0"/>
        <w:autoSpaceDN w:val="0"/>
        <w:adjustRightInd w:val="0"/>
        <w:spacing w:after="0" w:line="240" w:lineRule="auto"/>
        <w:jc w:val="both"/>
        <w:rPr>
          <w:rFonts w:ascii="Arial" w:hAnsi="Arial" w:cs="Arial"/>
          <w:color w:val="FFFFFF"/>
          <w:lang w:val="uk-UA"/>
        </w:rPr>
      </w:pPr>
    </w:p>
    <w:p w14:paraId="7D58D2CB" w14:textId="6E633537" w:rsidR="00C04625" w:rsidRPr="00175205" w:rsidRDefault="00AC042B" w:rsidP="0037724F">
      <w:pPr>
        <w:autoSpaceDE w:val="0"/>
        <w:autoSpaceDN w:val="0"/>
        <w:adjustRightInd w:val="0"/>
        <w:spacing w:after="0" w:line="240" w:lineRule="auto"/>
        <w:jc w:val="both"/>
        <w:rPr>
          <w:rFonts w:ascii="Arial" w:hAnsi="Arial" w:cs="Arial"/>
          <w:color w:val="C00000"/>
          <w:sz w:val="36"/>
          <w:szCs w:val="36"/>
          <w:lang w:val="uk-UA"/>
        </w:rPr>
      </w:pPr>
      <w:r>
        <w:rPr>
          <w:noProof/>
          <w:sz w:val="20"/>
          <w:szCs w:val="20"/>
          <w:lang w:eastAsia="ru-RU"/>
        </w:rPr>
        <w:lastRenderedPageBreak/>
        <w:drawing>
          <wp:anchor distT="0" distB="0" distL="114300" distR="114300" simplePos="0" relativeHeight="251675648" behindDoc="1" locked="0" layoutInCell="0" allowOverlap="1" wp14:anchorId="6EFD760A" wp14:editId="02FCEC5E">
            <wp:simplePos x="0" y="0"/>
            <wp:positionH relativeFrom="page">
              <wp:posOffset>506438</wp:posOffset>
            </wp:positionH>
            <wp:positionV relativeFrom="page">
              <wp:posOffset>457200</wp:posOffset>
            </wp:positionV>
            <wp:extent cx="802298" cy="567644"/>
            <wp:effectExtent l="0" t="0" r="10795" b="0"/>
            <wp:wrapNone/>
            <wp:docPr id="6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17373" cy="578310"/>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59264" behindDoc="1" locked="0" layoutInCell="0" allowOverlap="1" wp14:anchorId="3A2E683F" wp14:editId="5E4228FD">
            <wp:simplePos x="0" y="0"/>
            <wp:positionH relativeFrom="page">
              <wp:posOffset>508635</wp:posOffset>
            </wp:positionH>
            <wp:positionV relativeFrom="page">
              <wp:posOffset>457200</wp:posOffset>
            </wp:positionV>
            <wp:extent cx="800930" cy="577678"/>
            <wp:effectExtent l="0" t="0" r="12065" b="6985"/>
            <wp:wrapNone/>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16734" cy="589077"/>
                    </a:xfrm>
                    <a:prstGeom prst="rect">
                      <a:avLst/>
                    </a:prstGeom>
                    <a:noFill/>
                  </pic:spPr>
                </pic:pic>
              </a:graphicData>
            </a:graphic>
            <wp14:sizeRelH relativeFrom="margin">
              <wp14:pctWidth>0</wp14:pctWidth>
            </wp14:sizeRelH>
            <wp14:sizeRelV relativeFrom="margin">
              <wp14:pctHeight>0</wp14:pctHeight>
            </wp14:sizeRelV>
          </wp:anchor>
        </w:drawing>
      </w:r>
    </w:p>
    <w:p w14:paraId="3C04725E" w14:textId="77777777" w:rsidR="00AC042B" w:rsidRDefault="00AC042B" w:rsidP="009B51D9">
      <w:pPr>
        <w:autoSpaceDE w:val="0"/>
        <w:autoSpaceDN w:val="0"/>
        <w:adjustRightInd w:val="0"/>
        <w:spacing w:after="0" w:line="240" w:lineRule="auto"/>
        <w:jc w:val="both"/>
        <w:outlineLvl w:val="0"/>
        <w:rPr>
          <w:rFonts w:ascii="Arial" w:hAnsi="Arial" w:cs="Arial"/>
          <w:b/>
          <w:bCs/>
          <w:color w:val="6A2041"/>
          <w:sz w:val="36"/>
          <w:szCs w:val="36"/>
          <w:lang w:val="uk-UA"/>
        </w:rPr>
      </w:pPr>
    </w:p>
    <w:p w14:paraId="5C054CA1" w14:textId="08B63F40" w:rsidR="00E568A1" w:rsidRPr="00A32EE6" w:rsidRDefault="00E568A1" w:rsidP="009B51D9">
      <w:pPr>
        <w:autoSpaceDE w:val="0"/>
        <w:autoSpaceDN w:val="0"/>
        <w:adjustRightInd w:val="0"/>
        <w:spacing w:after="0" w:line="240" w:lineRule="auto"/>
        <w:jc w:val="both"/>
        <w:outlineLvl w:val="0"/>
        <w:rPr>
          <w:rFonts w:ascii="Arial" w:hAnsi="Arial" w:cs="Arial"/>
          <w:b/>
          <w:bCs/>
          <w:color w:val="6A2041"/>
          <w:sz w:val="36"/>
          <w:szCs w:val="36"/>
          <w:lang w:val="uk-UA"/>
        </w:rPr>
      </w:pPr>
      <w:r w:rsidRPr="00A32EE6">
        <w:rPr>
          <w:rFonts w:ascii="Arial" w:hAnsi="Arial" w:cs="Arial"/>
          <w:b/>
          <w:bCs/>
          <w:color w:val="6A2041"/>
          <w:sz w:val="36"/>
          <w:szCs w:val="36"/>
          <w:lang w:val="uk-UA"/>
        </w:rPr>
        <w:t>Допоміжні інтернет-матеріали</w:t>
      </w:r>
    </w:p>
    <w:p w14:paraId="5259920E" w14:textId="77777777" w:rsidR="00E568A1" w:rsidRPr="00255826"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51450D8F" w14:textId="43DDDC80" w:rsidR="00E568A1" w:rsidRDefault="00E568A1" w:rsidP="002634C1">
      <w:pPr>
        <w:autoSpaceDE w:val="0"/>
        <w:autoSpaceDN w:val="0"/>
        <w:adjustRightInd w:val="0"/>
        <w:spacing w:after="0" w:line="240" w:lineRule="auto"/>
        <w:jc w:val="both"/>
        <w:rPr>
          <w:rFonts w:ascii="Arial" w:hAnsi="Arial" w:cs="Arial"/>
          <w:bCs/>
          <w:color w:val="000000"/>
          <w:lang w:val="uk-UA"/>
        </w:rPr>
      </w:pPr>
      <w:r w:rsidRPr="00ED37DB">
        <w:rPr>
          <w:rFonts w:ascii="Arial" w:hAnsi="Arial" w:cs="Arial"/>
          <w:bCs/>
          <w:color w:val="000000"/>
          <w:lang w:val="uk-UA"/>
        </w:rPr>
        <w:t xml:space="preserve">• </w:t>
      </w:r>
      <w:r>
        <w:rPr>
          <w:rFonts w:ascii="Arial" w:hAnsi="Arial" w:cs="Arial"/>
          <w:bCs/>
          <w:color w:val="000000"/>
          <w:lang w:val="uk-UA"/>
        </w:rPr>
        <w:t>Звіт засідання Групи Експертів</w:t>
      </w:r>
      <w:r w:rsidRPr="00255826">
        <w:rPr>
          <w:rFonts w:ascii="Arial" w:hAnsi="Arial" w:cs="Arial"/>
          <w:bCs/>
          <w:color w:val="000000"/>
        </w:rPr>
        <w:t xml:space="preserve">, </w:t>
      </w:r>
      <w:r>
        <w:rPr>
          <w:rFonts w:ascii="Arial" w:hAnsi="Arial" w:cs="Arial"/>
          <w:bCs/>
          <w:color w:val="000000"/>
          <w:lang w:val="uk-UA"/>
        </w:rPr>
        <w:t xml:space="preserve">включаючи питання </w:t>
      </w:r>
      <w:r w:rsidRPr="00255826">
        <w:rPr>
          <w:rFonts w:ascii="Arial" w:hAnsi="Arial" w:cs="Arial"/>
          <w:bCs/>
          <w:color w:val="000000"/>
          <w:lang w:val="en-US"/>
        </w:rPr>
        <w:t>PICO</w:t>
      </w:r>
      <w:r w:rsidR="00175205">
        <w:rPr>
          <w:rFonts w:ascii="Arial" w:hAnsi="Arial" w:cs="Arial"/>
          <w:bCs/>
          <w:color w:val="000000"/>
          <w:lang w:val="en-US"/>
        </w:rPr>
        <w:t>*</w:t>
      </w:r>
      <w:r w:rsidRPr="00255826">
        <w:rPr>
          <w:rFonts w:ascii="Arial" w:hAnsi="Arial" w:cs="Arial"/>
          <w:bCs/>
          <w:color w:val="000000"/>
        </w:rPr>
        <w:t>;</w:t>
      </w:r>
    </w:p>
    <w:p w14:paraId="6126050F" w14:textId="77777777" w:rsidR="00E568A1" w:rsidRPr="002634C1" w:rsidRDefault="00E568A1" w:rsidP="002634C1">
      <w:pPr>
        <w:autoSpaceDE w:val="0"/>
        <w:autoSpaceDN w:val="0"/>
        <w:adjustRightInd w:val="0"/>
        <w:spacing w:after="0" w:line="240" w:lineRule="auto"/>
        <w:jc w:val="both"/>
        <w:rPr>
          <w:rFonts w:ascii="Arial" w:hAnsi="Arial" w:cs="Arial"/>
          <w:bCs/>
          <w:color w:val="000000"/>
          <w:lang w:val="uk-UA"/>
        </w:rPr>
      </w:pPr>
    </w:p>
    <w:p w14:paraId="0A9CEFB0" w14:textId="6CB2CBED" w:rsidR="00E568A1" w:rsidRPr="0014339A" w:rsidRDefault="00E568A1" w:rsidP="00C634D2">
      <w:pPr>
        <w:autoSpaceDE w:val="0"/>
        <w:autoSpaceDN w:val="0"/>
        <w:adjustRightInd w:val="0"/>
        <w:spacing w:after="0" w:line="240" w:lineRule="auto"/>
        <w:jc w:val="both"/>
        <w:rPr>
          <w:rFonts w:ascii="Arial" w:hAnsi="Arial" w:cs="Arial"/>
          <w:i/>
          <w:iCs/>
          <w:color w:val="000000"/>
          <w:lang w:val="uk-UA"/>
        </w:rPr>
      </w:pPr>
      <w:r w:rsidRPr="00C634D2">
        <w:rPr>
          <w:rFonts w:ascii="Arial" w:hAnsi="Arial" w:cs="Arial"/>
          <w:color w:val="000000"/>
        </w:rPr>
        <w:t xml:space="preserve">• </w:t>
      </w:r>
      <w:r w:rsidR="00013403">
        <w:rPr>
          <w:rFonts w:ascii="Arial" w:hAnsi="Arial" w:cs="Arial"/>
          <w:i/>
          <w:iCs/>
          <w:color w:val="000000"/>
          <w:lang w:val="uk-UA"/>
        </w:rPr>
        <w:t>Роль</w:t>
      </w:r>
      <w:r w:rsidR="00013403">
        <w:rPr>
          <w:rFonts w:ascii="Arial" w:hAnsi="Arial" w:cs="Arial"/>
          <w:i/>
          <w:iCs/>
          <w:color w:val="000000"/>
        </w:rPr>
        <w:t xml:space="preserve"> бедаквіліну у лікування МР</w:t>
      </w:r>
      <w:r w:rsidR="00AF7BEF">
        <w:rPr>
          <w:rFonts w:ascii="Arial" w:hAnsi="Arial" w:cs="Arial"/>
          <w:i/>
          <w:iCs/>
          <w:color w:val="000000"/>
        </w:rPr>
        <w:t xml:space="preserve"> </w:t>
      </w:r>
      <w:r w:rsidRPr="00C634D2">
        <w:rPr>
          <w:rFonts w:ascii="Arial" w:hAnsi="Arial" w:cs="Arial"/>
          <w:i/>
          <w:iCs/>
          <w:color w:val="000000"/>
        </w:rPr>
        <w:t xml:space="preserve">ТБ - </w:t>
      </w:r>
      <w:r>
        <w:rPr>
          <w:rFonts w:ascii="Arial" w:hAnsi="Arial" w:cs="Arial"/>
          <w:i/>
          <w:iCs/>
          <w:color w:val="000000"/>
          <w:lang w:val="uk-UA"/>
        </w:rPr>
        <w:t>узагальнення</w:t>
      </w:r>
      <w:r w:rsidRPr="00C634D2">
        <w:rPr>
          <w:rFonts w:ascii="Arial" w:hAnsi="Arial" w:cs="Arial"/>
          <w:i/>
          <w:iCs/>
          <w:color w:val="000000"/>
        </w:rPr>
        <w:t xml:space="preserve"> публічно </w:t>
      </w:r>
      <w:r>
        <w:rPr>
          <w:rFonts w:ascii="Arial" w:hAnsi="Arial" w:cs="Arial"/>
          <w:i/>
          <w:iCs/>
          <w:color w:val="000000"/>
          <w:lang w:val="uk-UA"/>
        </w:rPr>
        <w:t>доступних</w:t>
      </w:r>
    </w:p>
    <w:p w14:paraId="41A3E13E" w14:textId="77777777" w:rsidR="00E568A1" w:rsidRPr="00C634D2" w:rsidRDefault="00E568A1" w:rsidP="00C634D2">
      <w:pPr>
        <w:autoSpaceDE w:val="0"/>
        <w:autoSpaceDN w:val="0"/>
        <w:adjustRightInd w:val="0"/>
        <w:spacing w:after="0" w:line="240" w:lineRule="auto"/>
        <w:jc w:val="both"/>
        <w:rPr>
          <w:rFonts w:ascii="Arial" w:hAnsi="Arial" w:cs="Arial"/>
          <w:i/>
          <w:iCs/>
          <w:color w:val="000000"/>
        </w:rPr>
      </w:pPr>
      <w:r w:rsidRPr="00C634D2">
        <w:rPr>
          <w:rFonts w:ascii="Arial" w:hAnsi="Arial" w:cs="Arial"/>
          <w:i/>
          <w:iCs/>
          <w:color w:val="000000"/>
        </w:rPr>
        <w:t>даних, Бернард Фур'є, Південна Африка;</w:t>
      </w:r>
    </w:p>
    <w:p w14:paraId="4704EB1A" w14:textId="77777777" w:rsidR="00E568A1" w:rsidRDefault="00E568A1" w:rsidP="0037724F">
      <w:pPr>
        <w:autoSpaceDE w:val="0"/>
        <w:autoSpaceDN w:val="0"/>
        <w:adjustRightInd w:val="0"/>
        <w:spacing w:after="0" w:line="240" w:lineRule="auto"/>
        <w:jc w:val="both"/>
        <w:rPr>
          <w:rFonts w:ascii="Arial" w:hAnsi="Arial" w:cs="Arial"/>
          <w:color w:val="000000"/>
          <w:lang w:val="uk-UA"/>
        </w:rPr>
      </w:pPr>
    </w:p>
    <w:p w14:paraId="22BC2DA6" w14:textId="45E71BD7" w:rsidR="00E568A1" w:rsidRPr="002634C1" w:rsidRDefault="00E568A1" w:rsidP="0037724F">
      <w:pPr>
        <w:autoSpaceDE w:val="0"/>
        <w:autoSpaceDN w:val="0"/>
        <w:adjustRightInd w:val="0"/>
        <w:spacing w:after="0" w:line="240" w:lineRule="auto"/>
        <w:jc w:val="both"/>
        <w:rPr>
          <w:rFonts w:ascii="Arial" w:hAnsi="Arial" w:cs="Arial"/>
          <w:i/>
          <w:iCs/>
          <w:color w:val="000000"/>
        </w:rPr>
      </w:pPr>
      <w:r w:rsidRPr="002634C1">
        <w:rPr>
          <w:rFonts w:ascii="Arial" w:hAnsi="Arial" w:cs="Arial"/>
          <w:color w:val="000000"/>
        </w:rPr>
        <w:t xml:space="preserve">• </w:t>
      </w:r>
      <w:r w:rsidR="00013403">
        <w:rPr>
          <w:rFonts w:ascii="Arial" w:hAnsi="Arial" w:cs="Arial"/>
          <w:i/>
          <w:iCs/>
          <w:color w:val="000000"/>
        </w:rPr>
        <w:t>Оцінка конверсії</w:t>
      </w:r>
      <w:r w:rsidRPr="002634C1">
        <w:rPr>
          <w:rFonts w:ascii="Arial" w:hAnsi="Arial" w:cs="Arial"/>
          <w:i/>
          <w:iCs/>
          <w:color w:val="000000"/>
        </w:rPr>
        <w:t xml:space="preserve"> культури мокротиння я</w:t>
      </w:r>
      <w:r>
        <w:rPr>
          <w:rFonts w:ascii="Arial" w:hAnsi="Arial" w:cs="Arial"/>
          <w:i/>
          <w:iCs/>
          <w:color w:val="000000"/>
        </w:rPr>
        <w:t>к сурогатного маркеру результаті</w:t>
      </w:r>
      <w:r>
        <w:rPr>
          <w:rFonts w:ascii="Arial" w:hAnsi="Arial" w:cs="Arial"/>
          <w:i/>
          <w:iCs/>
          <w:color w:val="000000"/>
          <w:lang w:val="uk-UA"/>
        </w:rPr>
        <w:t>в</w:t>
      </w:r>
      <w:r w:rsidR="00013403">
        <w:rPr>
          <w:rFonts w:ascii="Arial" w:hAnsi="Arial" w:cs="Arial"/>
          <w:i/>
          <w:iCs/>
          <w:color w:val="000000"/>
        </w:rPr>
        <w:t xml:space="preserve"> лікування МР</w:t>
      </w:r>
      <w:r w:rsidRPr="002634C1">
        <w:rPr>
          <w:rFonts w:ascii="Arial" w:hAnsi="Arial" w:cs="Arial"/>
          <w:i/>
          <w:iCs/>
          <w:color w:val="000000"/>
        </w:rPr>
        <w:t>-ТБ, Катерина Курбатова та ін., Центр контролю та профілактики захворювань (</w:t>
      </w:r>
      <w:r w:rsidRPr="002634C1">
        <w:rPr>
          <w:rFonts w:ascii="Arial" w:hAnsi="Arial" w:cs="Arial"/>
          <w:i/>
          <w:iCs/>
          <w:color w:val="000000"/>
          <w:lang w:val="en-US"/>
        </w:rPr>
        <w:t>CDC</w:t>
      </w:r>
      <w:r w:rsidRPr="002634C1">
        <w:rPr>
          <w:rFonts w:ascii="Arial" w:hAnsi="Arial" w:cs="Arial"/>
          <w:i/>
          <w:iCs/>
          <w:color w:val="000000"/>
        </w:rPr>
        <w:t>), Атланта, штат Джорджія, США;</w:t>
      </w:r>
    </w:p>
    <w:p w14:paraId="282FEDAE" w14:textId="77777777" w:rsidR="00E568A1" w:rsidRDefault="00E568A1" w:rsidP="0037724F">
      <w:pPr>
        <w:autoSpaceDE w:val="0"/>
        <w:autoSpaceDN w:val="0"/>
        <w:adjustRightInd w:val="0"/>
        <w:spacing w:after="0" w:line="240" w:lineRule="auto"/>
        <w:jc w:val="both"/>
        <w:rPr>
          <w:rFonts w:ascii="Arial" w:hAnsi="Arial" w:cs="Arial"/>
          <w:color w:val="000000"/>
          <w:lang w:val="uk-UA"/>
        </w:rPr>
      </w:pPr>
    </w:p>
    <w:p w14:paraId="51BE04C7" w14:textId="532B820F" w:rsidR="00E568A1" w:rsidRPr="002634C1" w:rsidRDefault="00E568A1" w:rsidP="0037724F">
      <w:pPr>
        <w:autoSpaceDE w:val="0"/>
        <w:autoSpaceDN w:val="0"/>
        <w:adjustRightInd w:val="0"/>
        <w:spacing w:after="0" w:line="240" w:lineRule="auto"/>
        <w:jc w:val="both"/>
        <w:rPr>
          <w:rFonts w:ascii="Arial" w:hAnsi="Arial" w:cs="Arial"/>
          <w:i/>
          <w:iCs/>
          <w:color w:val="000000"/>
          <w:lang w:val="uk-UA"/>
        </w:rPr>
      </w:pPr>
      <w:r w:rsidRPr="002634C1">
        <w:rPr>
          <w:rFonts w:ascii="Arial" w:hAnsi="Arial" w:cs="Arial"/>
          <w:color w:val="000000"/>
          <w:lang w:val="uk-UA"/>
        </w:rPr>
        <w:t xml:space="preserve">• </w:t>
      </w:r>
      <w:r w:rsidRPr="002634C1">
        <w:rPr>
          <w:rFonts w:ascii="Arial" w:hAnsi="Arial" w:cs="Arial"/>
          <w:i/>
          <w:iCs/>
          <w:color w:val="000000"/>
          <w:lang w:val="uk-UA"/>
        </w:rPr>
        <w:t xml:space="preserve">Економічна ефективність введення бедаквіліну в режими </w:t>
      </w:r>
      <w:r>
        <w:rPr>
          <w:rFonts w:ascii="Arial" w:hAnsi="Arial" w:cs="Arial"/>
          <w:i/>
          <w:iCs/>
          <w:color w:val="000000"/>
          <w:lang w:val="uk-UA"/>
        </w:rPr>
        <w:t xml:space="preserve">лікування </w:t>
      </w:r>
      <w:r w:rsidRPr="002634C1">
        <w:rPr>
          <w:rFonts w:ascii="Arial" w:hAnsi="Arial" w:cs="Arial"/>
          <w:i/>
          <w:iCs/>
          <w:color w:val="000000"/>
          <w:lang w:val="en-US"/>
        </w:rPr>
        <w:t>M</w:t>
      </w:r>
      <w:r w:rsidR="00013403">
        <w:rPr>
          <w:rFonts w:ascii="Arial" w:hAnsi="Arial" w:cs="Arial"/>
          <w:i/>
          <w:iCs/>
          <w:color w:val="000000"/>
          <w:lang w:val="uk-UA"/>
        </w:rPr>
        <w:t>Р</w:t>
      </w:r>
      <w:r w:rsidRPr="002634C1">
        <w:rPr>
          <w:rFonts w:ascii="Arial" w:hAnsi="Arial" w:cs="Arial"/>
          <w:i/>
          <w:iCs/>
          <w:color w:val="000000"/>
          <w:lang w:val="uk-UA"/>
        </w:rPr>
        <w:t>-</w:t>
      </w:r>
      <w:r w:rsidRPr="002634C1">
        <w:rPr>
          <w:rFonts w:ascii="Arial" w:hAnsi="Arial" w:cs="Arial"/>
          <w:i/>
          <w:iCs/>
          <w:color w:val="000000"/>
          <w:lang w:val="en-US"/>
        </w:rPr>
        <w:t>T</w:t>
      </w:r>
      <w:r w:rsidRPr="002634C1">
        <w:rPr>
          <w:rFonts w:ascii="Arial" w:hAnsi="Arial" w:cs="Arial"/>
          <w:i/>
          <w:iCs/>
          <w:color w:val="000000"/>
          <w:lang w:val="uk-UA"/>
        </w:rPr>
        <w:t>Б - аналіз дослідження, Анна Вассалл, Лондонська школа гігієни та тропічної медицини, Лондон, Об'єднане Королівство.</w:t>
      </w:r>
    </w:p>
    <w:p w14:paraId="01CA1499" w14:textId="77777777" w:rsidR="00E568A1" w:rsidRDefault="00E568A1" w:rsidP="0037724F">
      <w:pPr>
        <w:autoSpaceDE w:val="0"/>
        <w:autoSpaceDN w:val="0"/>
        <w:adjustRightInd w:val="0"/>
        <w:spacing w:after="0" w:line="240" w:lineRule="auto"/>
        <w:jc w:val="both"/>
        <w:rPr>
          <w:rFonts w:ascii="Arial" w:hAnsi="Arial" w:cs="Arial"/>
          <w:bCs/>
          <w:color w:val="000000"/>
          <w:lang w:val="uk-UA"/>
        </w:rPr>
      </w:pPr>
    </w:p>
    <w:p w14:paraId="4084DDF1" w14:textId="77777777" w:rsidR="00E568A1" w:rsidRDefault="00E568A1" w:rsidP="0037724F">
      <w:pPr>
        <w:autoSpaceDE w:val="0"/>
        <w:autoSpaceDN w:val="0"/>
        <w:adjustRightInd w:val="0"/>
        <w:spacing w:after="0" w:line="240" w:lineRule="auto"/>
        <w:jc w:val="both"/>
        <w:rPr>
          <w:rFonts w:ascii="Arial" w:hAnsi="Arial" w:cs="Arial"/>
          <w:bCs/>
          <w:color w:val="000000"/>
          <w:lang w:val="uk-UA"/>
        </w:rPr>
      </w:pPr>
    </w:p>
    <w:p w14:paraId="44432E69" w14:textId="03D76DBB" w:rsidR="00E568A1" w:rsidRDefault="00E568A1" w:rsidP="009B51D9">
      <w:pPr>
        <w:autoSpaceDE w:val="0"/>
        <w:autoSpaceDN w:val="0"/>
        <w:adjustRightInd w:val="0"/>
        <w:spacing w:after="0" w:line="240" w:lineRule="auto"/>
        <w:jc w:val="both"/>
        <w:outlineLvl w:val="0"/>
        <w:rPr>
          <w:rFonts w:ascii="Arial" w:hAnsi="Arial" w:cs="Arial"/>
          <w:color w:val="000000"/>
          <w:lang w:val="en-US"/>
        </w:rPr>
      </w:pPr>
      <w:r w:rsidRPr="00255826">
        <w:rPr>
          <w:rFonts w:ascii="Arial" w:hAnsi="Arial" w:cs="Arial"/>
          <w:bCs/>
          <w:color w:val="000000"/>
        </w:rPr>
        <w:t>Доступно на веб-сайті</w:t>
      </w:r>
      <w:r>
        <w:rPr>
          <w:rFonts w:ascii="Arial" w:hAnsi="Arial" w:cs="Arial"/>
          <w:color w:val="000000"/>
          <w:lang w:val="uk-UA"/>
        </w:rPr>
        <w:t xml:space="preserve">: </w:t>
      </w:r>
      <w:hyperlink r:id="rId11" w:history="1">
        <w:r w:rsidR="00175205" w:rsidRPr="00576AFF">
          <w:rPr>
            <w:rStyle w:val="a3"/>
            <w:rFonts w:ascii="Arial" w:hAnsi="Arial" w:cs="Arial"/>
            <w:lang w:val="en-US"/>
          </w:rPr>
          <w:t>http</w:t>
        </w:r>
        <w:r w:rsidR="00175205" w:rsidRPr="00576AFF">
          <w:rPr>
            <w:rStyle w:val="a3"/>
            <w:rFonts w:ascii="Arial" w:hAnsi="Arial" w:cs="Arial"/>
          </w:rPr>
          <w:t>://</w:t>
        </w:r>
        <w:r w:rsidR="00175205" w:rsidRPr="00576AFF">
          <w:rPr>
            <w:rStyle w:val="a3"/>
            <w:rFonts w:ascii="Arial" w:hAnsi="Arial" w:cs="Arial"/>
            <w:lang w:val="en-US"/>
          </w:rPr>
          <w:t>www</w:t>
        </w:r>
        <w:r w:rsidR="00175205" w:rsidRPr="00576AFF">
          <w:rPr>
            <w:rStyle w:val="a3"/>
            <w:rFonts w:ascii="Arial" w:hAnsi="Arial" w:cs="Arial"/>
          </w:rPr>
          <w:t>.</w:t>
        </w:r>
        <w:r w:rsidR="00175205" w:rsidRPr="00576AFF">
          <w:rPr>
            <w:rStyle w:val="a3"/>
            <w:rFonts w:ascii="Arial" w:hAnsi="Arial" w:cs="Arial"/>
            <w:lang w:val="en-US"/>
          </w:rPr>
          <w:t>who</w:t>
        </w:r>
        <w:r w:rsidR="00175205" w:rsidRPr="00576AFF">
          <w:rPr>
            <w:rStyle w:val="a3"/>
            <w:rFonts w:ascii="Arial" w:hAnsi="Arial" w:cs="Arial"/>
          </w:rPr>
          <w:t>.</w:t>
        </w:r>
        <w:r w:rsidR="00175205" w:rsidRPr="00576AFF">
          <w:rPr>
            <w:rStyle w:val="a3"/>
            <w:rFonts w:ascii="Arial" w:hAnsi="Arial" w:cs="Arial"/>
            <w:lang w:val="en-US"/>
          </w:rPr>
          <w:t>int</w:t>
        </w:r>
        <w:r w:rsidR="00175205" w:rsidRPr="00576AFF">
          <w:rPr>
            <w:rStyle w:val="a3"/>
            <w:rFonts w:ascii="Arial" w:hAnsi="Arial" w:cs="Arial"/>
          </w:rPr>
          <w:t>/</w:t>
        </w:r>
        <w:r w:rsidR="00175205" w:rsidRPr="00576AFF">
          <w:rPr>
            <w:rStyle w:val="a3"/>
            <w:rFonts w:ascii="Arial" w:hAnsi="Arial" w:cs="Arial"/>
            <w:lang w:val="en-US"/>
          </w:rPr>
          <w:t>tb</w:t>
        </w:r>
        <w:r w:rsidR="00175205" w:rsidRPr="00576AFF">
          <w:rPr>
            <w:rStyle w:val="a3"/>
            <w:rFonts w:ascii="Arial" w:hAnsi="Arial" w:cs="Arial"/>
          </w:rPr>
          <w:t>/</w:t>
        </w:r>
        <w:r w:rsidR="00175205" w:rsidRPr="00576AFF">
          <w:rPr>
            <w:rStyle w:val="a3"/>
            <w:rFonts w:ascii="Arial" w:hAnsi="Arial" w:cs="Arial"/>
            <w:lang w:val="en-US"/>
          </w:rPr>
          <w:t>challenges</w:t>
        </w:r>
        <w:r w:rsidR="00175205" w:rsidRPr="00576AFF">
          <w:rPr>
            <w:rStyle w:val="a3"/>
            <w:rFonts w:ascii="Arial" w:hAnsi="Arial" w:cs="Arial"/>
          </w:rPr>
          <w:t>/</w:t>
        </w:r>
        <w:r w:rsidR="00175205" w:rsidRPr="00576AFF">
          <w:rPr>
            <w:rStyle w:val="a3"/>
            <w:rFonts w:ascii="Arial" w:hAnsi="Arial" w:cs="Arial"/>
            <w:lang w:val="en-US"/>
          </w:rPr>
          <w:t>mdr</w:t>
        </w:r>
        <w:r w:rsidR="00175205" w:rsidRPr="00576AFF">
          <w:rPr>
            <w:rStyle w:val="a3"/>
            <w:rFonts w:ascii="Arial" w:hAnsi="Arial" w:cs="Arial"/>
          </w:rPr>
          <w:t>/</w:t>
        </w:r>
        <w:r w:rsidR="00175205" w:rsidRPr="00576AFF">
          <w:rPr>
            <w:rStyle w:val="a3"/>
            <w:rFonts w:ascii="Arial" w:hAnsi="Arial" w:cs="Arial"/>
            <w:lang w:val="en-US"/>
          </w:rPr>
          <w:t>bedaquiline</w:t>
        </w:r>
        <w:r w:rsidR="00175205" w:rsidRPr="00576AFF">
          <w:rPr>
            <w:rStyle w:val="a3"/>
            <w:rFonts w:ascii="Arial" w:hAnsi="Arial" w:cs="Arial"/>
          </w:rPr>
          <w:t>/</w:t>
        </w:r>
        <w:r w:rsidR="00175205" w:rsidRPr="00576AFF">
          <w:rPr>
            <w:rStyle w:val="a3"/>
            <w:rFonts w:ascii="Arial" w:hAnsi="Arial" w:cs="Arial"/>
            <w:lang w:val="en-US"/>
          </w:rPr>
          <w:t>en</w:t>
        </w:r>
        <w:r w:rsidR="00175205" w:rsidRPr="00576AFF">
          <w:rPr>
            <w:rStyle w:val="a3"/>
            <w:rFonts w:ascii="Arial" w:hAnsi="Arial" w:cs="Arial"/>
          </w:rPr>
          <w:t>/</w:t>
        </w:r>
        <w:r w:rsidR="00175205" w:rsidRPr="00576AFF">
          <w:rPr>
            <w:rStyle w:val="a3"/>
            <w:rFonts w:ascii="Arial" w:hAnsi="Arial" w:cs="Arial"/>
            <w:lang w:val="en-US"/>
          </w:rPr>
          <w:t>index</w:t>
        </w:r>
        <w:r w:rsidR="00175205" w:rsidRPr="00576AFF">
          <w:rPr>
            <w:rStyle w:val="a3"/>
            <w:rFonts w:ascii="Arial" w:hAnsi="Arial" w:cs="Arial"/>
          </w:rPr>
          <w:t>.</w:t>
        </w:r>
        <w:r w:rsidR="00175205" w:rsidRPr="00576AFF">
          <w:rPr>
            <w:rStyle w:val="a3"/>
            <w:rFonts w:ascii="Arial" w:hAnsi="Arial" w:cs="Arial"/>
            <w:lang w:val="en-US"/>
          </w:rPr>
          <w:t>html</w:t>
        </w:r>
      </w:hyperlink>
    </w:p>
    <w:p w14:paraId="3160F35E" w14:textId="77777777" w:rsidR="00175205" w:rsidRDefault="00175205" w:rsidP="0037724F">
      <w:pPr>
        <w:autoSpaceDE w:val="0"/>
        <w:autoSpaceDN w:val="0"/>
        <w:adjustRightInd w:val="0"/>
        <w:spacing w:after="0" w:line="240" w:lineRule="auto"/>
        <w:jc w:val="both"/>
        <w:rPr>
          <w:rFonts w:ascii="Arial" w:hAnsi="Arial" w:cs="Arial"/>
          <w:color w:val="000000"/>
          <w:lang w:val="en-US"/>
        </w:rPr>
      </w:pPr>
    </w:p>
    <w:p w14:paraId="7A994B23" w14:textId="77777777" w:rsidR="00175205" w:rsidRDefault="00175205" w:rsidP="0037724F">
      <w:pPr>
        <w:autoSpaceDE w:val="0"/>
        <w:autoSpaceDN w:val="0"/>
        <w:adjustRightInd w:val="0"/>
        <w:spacing w:after="0" w:line="240" w:lineRule="auto"/>
        <w:jc w:val="both"/>
        <w:rPr>
          <w:rFonts w:ascii="Arial" w:hAnsi="Arial" w:cs="Arial"/>
          <w:color w:val="000000"/>
          <w:lang w:val="en-US"/>
        </w:rPr>
      </w:pPr>
    </w:p>
    <w:p w14:paraId="4A01493E" w14:textId="77777777" w:rsidR="006C0C96" w:rsidRDefault="00175205" w:rsidP="006C0C96">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175205">
        <w:t xml:space="preserve"> </w:t>
      </w:r>
      <w:r w:rsidR="006C0C96" w:rsidRPr="006C0C96">
        <w:rPr>
          <w:rFonts w:ascii="Arial" w:hAnsi="Arial" w:cs="Arial"/>
          <w:color w:val="000000"/>
        </w:rPr>
        <w:t xml:space="preserve">Процес PICO є методом, що використовується у практиці заснованій на доказах для формування відповідей на питання щодо клінічної практики або будь-яких питань пов'язаних з наданням медичних послуг у сфері охорони здоров'я. </w:t>
      </w:r>
    </w:p>
    <w:p w14:paraId="3FCFAD2F" w14:textId="77777777" w:rsidR="006C0C96" w:rsidRDefault="006C0C96" w:rsidP="006C0C96">
      <w:pPr>
        <w:autoSpaceDE w:val="0"/>
        <w:autoSpaceDN w:val="0"/>
        <w:adjustRightInd w:val="0"/>
        <w:spacing w:after="0" w:line="240" w:lineRule="auto"/>
        <w:jc w:val="both"/>
        <w:rPr>
          <w:rFonts w:ascii="Arial" w:hAnsi="Arial" w:cs="Arial"/>
          <w:color w:val="000000"/>
        </w:rPr>
      </w:pPr>
      <w:r w:rsidRPr="006C0C96">
        <w:rPr>
          <w:rFonts w:ascii="Arial" w:hAnsi="Arial" w:cs="Arial"/>
          <w:color w:val="000000"/>
        </w:rPr>
        <w:t xml:space="preserve">Акронім PICO означає </w:t>
      </w:r>
    </w:p>
    <w:p w14:paraId="6296E7DF" w14:textId="77777777" w:rsidR="006C0C96" w:rsidRDefault="006C0C96" w:rsidP="006C0C96">
      <w:pPr>
        <w:autoSpaceDE w:val="0"/>
        <w:autoSpaceDN w:val="0"/>
        <w:adjustRightInd w:val="0"/>
        <w:spacing w:after="0" w:line="240" w:lineRule="auto"/>
        <w:jc w:val="both"/>
        <w:rPr>
          <w:rFonts w:ascii="Arial" w:hAnsi="Arial" w:cs="Arial"/>
          <w:color w:val="000000"/>
        </w:rPr>
      </w:pPr>
      <w:r w:rsidRPr="006C0C96">
        <w:rPr>
          <w:rFonts w:ascii="Arial" w:hAnsi="Arial" w:cs="Arial"/>
          <w:color w:val="000000"/>
        </w:rPr>
        <w:t xml:space="preserve">P - пацієнт, проблема або популяція </w:t>
      </w:r>
    </w:p>
    <w:p w14:paraId="057074F9" w14:textId="77777777" w:rsidR="006C0C96" w:rsidRDefault="006C0C96" w:rsidP="006C0C96">
      <w:pPr>
        <w:autoSpaceDE w:val="0"/>
        <w:autoSpaceDN w:val="0"/>
        <w:adjustRightInd w:val="0"/>
        <w:spacing w:after="0" w:line="240" w:lineRule="auto"/>
        <w:jc w:val="both"/>
        <w:rPr>
          <w:rFonts w:ascii="Arial" w:hAnsi="Arial" w:cs="Arial"/>
          <w:color w:val="000000"/>
        </w:rPr>
      </w:pPr>
      <w:r w:rsidRPr="006C0C96">
        <w:rPr>
          <w:rFonts w:ascii="Arial" w:hAnsi="Arial" w:cs="Arial"/>
          <w:color w:val="000000"/>
        </w:rPr>
        <w:t xml:space="preserve">I - інтервенція </w:t>
      </w:r>
    </w:p>
    <w:p w14:paraId="3DB1A509" w14:textId="77777777" w:rsidR="006C0C96" w:rsidRDefault="006C0C96" w:rsidP="006C0C96">
      <w:pPr>
        <w:autoSpaceDE w:val="0"/>
        <w:autoSpaceDN w:val="0"/>
        <w:adjustRightInd w:val="0"/>
        <w:spacing w:after="0" w:line="240" w:lineRule="auto"/>
        <w:jc w:val="both"/>
        <w:rPr>
          <w:rFonts w:ascii="Arial" w:hAnsi="Arial" w:cs="Arial"/>
          <w:color w:val="000000"/>
        </w:rPr>
      </w:pPr>
      <w:r w:rsidRPr="006C0C96">
        <w:rPr>
          <w:rFonts w:ascii="Arial" w:hAnsi="Arial" w:cs="Arial"/>
          <w:color w:val="000000"/>
        </w:rPr>
        <w:t xml:space="preserve">С - порівняння, контроль або компаратор </w:t>
      </w:r>
    </w:p>
    <w:p w14:paraId="1F1D6953" w14:textId="6315126C" w:rsidR="00E568A1" w:rsidRDefault="006C0C96" w:rsidP="006C0C96">
      <w:pPr>
        <w:autoSpaceDE w:val="0"/>
        <w:autoSpaceDN w:val="0"/>
        <w:adjustRightInd w:val="0"/>
        <w:spacing w:after="0" w:line="240" w:lineRule="auto"/>
        <w:jc w:val="both"/>
        <w:rPr>
          <w:rFonts w:ascii="Arial" w:hAnsi="Arial" w:cs="Arial"/>
          <w:b/>
          <w:bCs/>
          <w:color w:val="000000"/>
          <w:sz w:val="48"/>
          <w:szCs w:val="48"/>
          <w:lang w:val="uk-UA"/>
        </w:rPr>
      </w:pPr>
      <w:r w:rsidRPr="006C0C96">
        <w:rPr>
          <w:rFonts w:ascii="Arial" w:hAnsi="Arial" w:cs="Arial"/>
          <w:color w:val="000000"/>
        </w:rPr>
        <w:t>О - результат</w:t>
      </w:r>
    </w:p>
    <w:p w14:paraId="465E6207"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2DE38E52"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0DD7A939"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2583A37C"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4623933B"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5DD40756"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2A2A6455"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3757CE8C"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3E9B9724"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72022873"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57D6C4F4" w14:textId="54C48498"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4D3C3A23" w14:textId="78482D6C" w:rsidR="00E568A1" w:rsidRPr="00A32EE6" w:rsidRDefault="00AC042B" w:rsidP="009B51D9">
      <w:pPr>
        <w:autoSpaceDE w:val="0"/>
        <w:autoSpaceDN w:val="0"/>
        <w:adjustRightInd w:val="0"/>
        <w:spacing w:after="0" w:line="240" w:lineRule="auto"/>
        <w:jc w:val="both"/>
        <w:outlineLvl w:val="0"/>
        <w:rPr>
          <w:rFonts w:ascii="Arial" w:hAnsi="Arial" w:cs="Arial"/>
          <w:b/>
          <w:bCs/>
          <w:color w:val="6A2041"/>
          <w:sz w:val="48"/>
          <w:szCs w:val="48"/>
          <w:lang w:val="uk-UA"/>
        </w:rPr>
      </w:pPr>
      <w:r>
        <w:rPr>
          <w:noProof/>
          <w:sz w:val="20"/>
          <w:szCs w:val="20"/>
          <w:lang w:eastAsia="ru-RU"/>
        </w:rPr>
        <w:drawing>
          <wp:anchor distT="0" distB="0" distL="114300" distR="114300" simplePos="0" relativeHeight="251677696" behindDoc="1" locked="0" layoutInCell="0" allowOverlap="1" wp14:anchorId="04037376" wp14:editId="137126A6">
            <wp:simplePos x="0" y="0"/>
            <wp:positionH relativeFrom="page">
              <wp:posOffset>393895</wp:posOffset>
            </wp:positionH>
            <wp:positionV relativeFrom="page">
              <wp:posOffset>119575</wp:posOffset>
            </wp:positionV>
            <wp:extent cx="802298" cy="567644"/>
            <wp:effectExtent l="0" t="0" r="10795" b="0"/>
            <wp:wrapNone/>
            <wp:docPr id="6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17373" cy="578310"/>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65408" behindDoc="1" locked="0" layoutInCell="0" allowOverlap="1" wp14:anchorId="44ED412D" wp14:editId="5FAD149C">
            <wp:simplePos x="0" y="0"/>
            <wp:positionH relativeFrom="page">
              <wp:posOffset>391258</wp:posOffset>
            </wp:positionH>
            <wp:positionV relativeFrom="page">
              <wp:posOffset>118843</wp:posOffset>
            </wp:positionV>
            <wp:extent cx="800930" cy="577678"/>
            <wp:effectExtent l="0" t="0" r="12065" b="6985"/>
            <wp:wrapNone/>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00930" cy="577678"/>
                    </a:xfrm>
                    <a:prstGeom prst="rect">
                      <a:avLst/>
                    </a:prstGeom>
                    <a:noFill/>
                  </pic:spPr>
                </pic:pic>
              </a:graphicData>
            </a:graphic>
            <wp14:sizeRelH relativeFrom="margin">
              <wp14:pctWidth>0</wp14:pctWidth>
            </wp14:sizeRelH>
            <wp14:sizeRelV relativeFrom="margin">
              <wp14:pctHeight>0</wp14:pctHeight>
            </wp14:sizeRelV>
          </wp:anchor>
        </w:drawing>
      </w:r>
      <w:r w:rsidR="00E568A1" w:rsidRPr="00A32EE6">
        <w:rPr>
          <w:rFonts w:ascii="Arial" w:hAnsi="Arial" w:cs="Arial"/>
          <w:b/>
          <w:bCs/>
          <w:color w:val="6A2041"/>
          <w:sz w:val="48"/>
          <w:szCs w:val="48"/>
          <w:lang w:val="uk-UA"/>
        </w:rPr>
        <w:t>Подяка</w:t>
      </w:r>
    </w:p>
    <w:p w14:paraId="1A8F3B6A" w14:textId="77777777" w:rsidR="00E568A1" w:rsidRPr="0014339A" w:rsidRDefault="00E568A1" w:rsidP="0037724F">
      <w:pPr>
        <w:autoSpaceDE w:val="0"/>
        <w:autoSpaceDN w:val="0"/>
        <w:adjustRightInd w:val="0"/>
        <w:spacing w:after="0" w:line="240" w:lineRule="auto"/>
        <w:jc w:val="both"/>
        <w:rPr>
          <w:rFonts w:ascii="Arial" w:hAnsi="Arial" w:cs="Arial"/>
          <w:b/>
          <w:bCs/>
          <w:color w:val="000000"/>
          <w:sz w:val="18"/>
          <w:szCs w:val="18"/>
          <w:lang w:val="uk-UA"/>
        </w:rPr>
      </w:pPr>
    </w:p>
    <w:p w14:paraId="03E71E2A" w14:textId="3CC1816B" w:rsidR="00E568A1" w:rsidRPr="0014339A" w:rsidRDefault="00E568A1" w:rsidP="00842F6D">
      <w:pPr>
        <w:autoSpaceDE w:val="0"/>
        <w:autoSpaceDN w:val="0"/>
        <w:adjustRightInd w:val="0"/>
        <w:spacing w:after="0" w:line="240" w:lineRule="auto"/>
        <w:jc w:val="both"/>
        <w:rPr>
          <w:rFonts w:ascii="Arial" w:hAnsi="Arial" w:cs="Arial"/>
          <w:color w:val="000000"/>
          <w:lang w:val="uk-UA"/>
        </w:rPr>
      </w:pPr>
      <w:r w:rsidRPr="00255826">
        <w:rPr>
          <w:rFonts w:ascii="Arial" w:hAnsi="Arial" w:cs="Arial"/>
          <w:color w:val="000000"/>
          <w:lang w:val="uk-UA"/>
        </w:rPr>
        <w:t xml:space="preserve">Цей документ був підготовлений  </w:t>
      </w:r>
      <w:r w:rsidR="00013403">
        <w:rPr>
          <w:rFonts w:ascii="Arial" w:hAnsi="Arial" w:cs="Arial"/>
          <w:color w:val="000000"/>
          <w:lang w:val="uk-UA"/>
        </w:rPr>
        <w:t>Крістіаном Ліенхардом (</w:t>
      </w:r>
      <w:r w:rsidRPr="00255826">
        <w:rPr>
          <w:rFonts w:ascii="Arial" w:hAnsi="Arial" w:cs="Arial"/>
          <w:color w:val="000000"/>
          <w:lang w:val="en-US"/>
        </w:rPr>
        <w:t>Christian</w:t>
      </w:r>
      <w:r w:rsidRPr="0014339A">
        <w:rPr>
          <w:rFonts w:ascii="Arial" w:hAnsi="Arial" w:cs="Arial"/>
          <w:color w:val="000000"/>
          <w:lang w:val="uk-UA"/>
        </w:rPr>
        <w:t xml:space="preserve"> </w:t>
      </w:r>
      <w:r w:rsidRPr="00255826">
        <w:rPr>
          <w:rFonts w:ascii="Arial" w:hAnsi="Arial" w:cs="Arial"/>
          <w:color w:val="000000"/>
          <w:lang w:val="en-US"/>
        </w:rPr>
        <w:t>Lienhardt</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uk-UA"/>
        </w:rPr>
        <w:t>Карін Веєр (</w:t>
      </w:r>
      <w:r w:rsidRPr="00255826">
        <w:rPr>
          <w:rFonts w:ascii="Arial" w:hAnsi="Arial" w:cs="Arial"/>
          <w:color w:val="000000"/>
          <w:lang w:val="en-US"/>
        </w:rPr>
        <w:t>Karin</w:t>
      </w:r>
      <w:r w:rsidRPr="0014339A">
        <w:rPr>
          <w:rFonts w:ascii="Arial" w:hAnsi="Arial" w:cs="Arial"/>
          <w:color w:val="000000"/>
          <w:lang w:val="uk-UA"/>
        </w:rPr>
        <w:t xml:space="preserve"> </w:t>
      </w:r>
      <w:r w:rsidRPr="00255826">
        <w:rPr>
          <w:rFonts w:ascii="Arial" w:hAnsi="Arial" w:cs="Arial"/>
          <w:color w:val="000000"/>
          <w:lang w:val="en-US"/>
        </w:rPr>
        <w:t>Weyer</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uk-UA"/>
        </w:rPr>
        <w:t>Денісом Фалзоном (</w:t>
      </w:r>
      <w:r w:rsidRPr="00255826">
        <w:rPr>
          <w:rFonts w:ascii="Arial" w:hAnsi="Arial" w:cs="Arial"/>
          <w:color w:val="000000"/>
          <w:lang w:val="en-US"/>
        </w:rPr>
        <w:t>Dennis</w:t>
      </w:r>
      <w:r w:rsidRPr="0014339A">
        <w:rPr>
          <w:rFonts w:ascii="Arial" w:hAnsi="Arial" w:cs="Arial"/>
          <w:color w:val="000000"/>
          <w:lang w:val="uk-UA"/>
        </w:rPr>
        <w:t xml:space="preserve"> </w:t>
      </w:r>
      <w:r w:rsidRPr="00255826">
        <w:rPr>
          <w:rFonts w:ascii="Arial" w:hAnsi="Arial" w:cs="Arial"/>
          <w:color w:val="000000"/>
          <w:lang w:val="en-US"/>
        </w:rPr>
        <w:t>Falzon</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uk-UA"/>
        </w:rPr>
        <w:t>Фрейзером Вересом (</w:t>
      </w:r>
      <w:r w:rsidRPr="00255826">
        <w:rPr>
          <w:rFonts w:ascii="Arial" w:hAnsi="Arial" w:cs="Arial"/>
          <w:color w:val="000000"/>
          <w:lang w:val="en-US"/>
        </w:rPr>
        <w:t>Fraser</w:t>
      </w:r>
      <w:r w:rsidRPr="0014339A">
        <w:rPr>
          <w:rFonts w:ascii="Arial" w:hAnsi="Arial" w:cs="Arial"/>
          <w:color w:val="000000"/>
          <w:lang w:val="uk-UA"/>
        </w:rPr>
        <w:t xml:space="preserve"> </w:t>
      </w:r>
      <w:r w:rsidRPr="00255826">
        <w:rPr>
          <w:rFonts w:ascii="Arial" w:hAnsi="Arial" w:cs="Arial"/>
          <w:color w:val="000000"/>
          <w:lang w:val="en-US"/>
        </w:rPr>
        <w:t>Wares</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uk-UA"/>
        </w:rPr>
        <w:t>Ернесто Джарамілом (</w:t>
      </w:r>
      <w:r w:rsidRPr="00255826">
        <w:rPr>
          <w:rFonts w:ascii="Arial" w:hAnsi="Arial" w:cs="Arial"/>
          <w:color w:val="000000"/>
          <w:lang w:val="en-US"/>
        </w:rPr>
        <w:t>Ernesto</w:t>
      </w:r>
      <w:r w:rsidRPr="0014339A">
        <w:rPr>
          <w:rFonts w:ascii="Arial" w:hAnsi="Arial" w:cs="Arial"/>
          <w:color w:val="000000"/>
          <w:lang w:val="uk-UA"/>
        </w:rPr>
        <w:t xml:space="preserve"> </w:t>
      </w:r>
      <w:r w:rsidRPr="00255826">
        <w:rPr>
          <w:rFonts w:ascii="Arial" w:hAnsi="Arial" w:cs="Arial"/>
          <w:color w:val="000000"/>
          <w:lang w:val="en-US"/>
        </w:rPr>
        <w:t>Jaramillo</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uk-UA"/>
        </w:rPr>
        <w:t>Даяною Веіл (</w:t>
      </w:r>
      <w:r w:rsidRPr="00255826">
        <w:rPr>
          <w:rFonts w:ascii="Arial" w:hAnsi="Arial" w:cs="Arial"/>
          <w:color w:val="000000"/>
          <w:lang w:val="en-US"/>
        </w:rPr>
        <w:t>Diana</w:t>
      </w:r>
      <w:r w:rsidRPr="0014339A">
        <w:rPr>
          <w:rFonts w:ascii="Arial" w:hAnsi="Arial" w:cs="Arial"/>
          <w:color w:val="000000"/>
          <w:lang w:val="uk-UA"/>
        </w:rPr>
        <w:t xml:space="preserve"> </w:t>
      </w:r>
      <w:r w:rsidRPr="00255826">
        <w:rPr>
          <w:rFonts w:ascii="Arial" w:hAnsi="Arial" w:cs="Arial"/>
          <w:color w:val="000000"/>
          <w:lang w:val="en-US"/>
        </w:rPr>
        <w:t>Weil</w:t>
      </w:r>
      <w:r w:rsidR="00013403">
        <w:rPr>
          <w:rFonts w:ascii="Arial" w:hAnsi="Arial" w:cs="Arial"/>
          <w:color w:val="000000"/>
          <w:lang w:val="en-US"/>
        </w:rPr>
        <w:t>)</w:t>
      </w:r>
      <w:r w:rsidRPr="0014339A">
        <w:rPr>
          <w:rFonts w:ascii="Arial" w:hAnsi="Arial" w:cs="Arial"/>
          <w:color w:val="000000"/>
          <w:lang w:val="uk-UA"/>
        </w:rPr>
        <w:t xml:space="preserve"> </w:t>
      </w:r>
      <w:r w:rsidR="00013403">
        <w:rPr>
          <w:rFonts w:ascii="Arial" w:hAnsi="Arial" w:cs="Arial"/>
          <w:color w:val="000000"/>
          <w:lang w:val="en-US"/>
        </w:rPr>
        <w:t>та Маріо Равігліоне (</w:t>
      </w:r>
      <w:r w:rsidRPr="0014339A">
        <w:rPr>
          <w:rFonts w:ascii="Arial" w:hAnsi="Arial" w:cs="Arial"/>
          <w:color w:val="000000"/>
          <w:lang w:val="uk-UA"/>
        </w:rPr>
        <w:t xml:space="preserve"> </w:t>
      </w:r>
      <w:r w:rsidRPr="00255826">
        <w:rPr>
          <w:rFonts w:ascii="Arial" w:hAnsi="Arial" w:cs="Arial"/>
          <w:color w:val="000000"/>
          <w:lang w:val="en-US"/>
        </w:rPr>
        <w:t>Mario</w:t>
      </w:r>
      <w:r w:rsidRPr="0014339A">
        <w:rPr>
          <w:rFonts w:ascii="Arial" w:hAnsi="Arial" w:cs="Arial"/>
          <w:color w:val="000000"/>
          <w:lang w:val="uk-UA"/>
        </w:rPr>
        <w:t xml:space="preserve"> </w:t>
      </w:r>
      <w:r w:rsidRPr="00255826">
        <w:rPr>
          <w:rFonts w:ascii="Arial" w:hAnsi="Arial" w:cs="Arial"/>
          <w:color w:val="000000"/>
          <w:lang w:val="en-US"/>
        </w:rPr>
        <w:t>Raviglione</w:t>
      </w:r>
      <w:r w:rsidR="00013403">
        <w:rPr>
          <w:rFonts w:ascii="Arial" w:hAnsi="Arial" w:cs="Arial"/>
          <w:color w:val="000000"/>
          <w:lang w:val="en-US"/>
        </w:rPr>
        <w:t>)</w:t>
      </w:r>
      <w:r w:rsidRPr="0014339A">
        <w:rPr>
          <w:rFonts w:ascii="Arial" w:hAnsi="Arial" w:cs="Arial"/>
          <w:color w:val="000000"/>
          <w:lang w:val="uk-UA"/>
        </w:rPr>
        <w:t xml:space="preserve"> (</w:t>
      </w:r>
      <w:r>
        <w:rPr>
          <w:rFonts w:ascii="Arial" w:hAnsi="Arial" w:cs="Arial"/>
          <w:color w:val="000000"/>
          <w:lang w:val="uk-UA"/>
        </w:rPr>
        <w:t>Всесвітня</w:t>
      </w:r>
      <w:r w:rsidRPr="00255826">
        <w:rPr>
          <w:rFonts w:ascii="Arial" w:hAnsi="Arial" w:cs="Arial"/>
          <w:color w:val="000000"/>
          <w:lang w:val="uk-UA"/>
        </w:rPr>
        <w:t xml:space="preserve"> Організація Охорони Здоров</w:t>
      </w:r>
      <w:r w:rsidRPr="0014339A">
        <w:rPr>
          <w:rFonts w:ascii="Arial" w:hAnsi="Arial" w:cs="Arial"/>
          <w:color w:val="000000"/>
          <w:lang w:val="uk-UA"/>
        </w:rPr>
        <w:t>’</w:t>
      </w:r>
      <w:r w:rsidRPr="00255826">
        <w:rPr>
          <w:rFonts w:ascii="Arial" w:hAnsi="Arial" w:cs="Arial"/>
          <w:color w:val="000000"/>
          <w:lang w:val="uk-UA"/>
        </w:rPr>
        <w:t xml:space="preserve">я </w:t>
      </w:r>
      <w:r w:rsidRPr="0014339A">
        <w:rPr>
          <w:rFonts w:ascii="Arial" w:hAnsi="Arial" w:cs="Arial"/>
          <w:color w:val="000000"/>
          <w:lang w:val="uk-UA"/>
        </w:rPr>
        <w:t>(</w:t>
      </w:r>
      <w:r w:rsidRPr="00255826">
        <w:rPr>
          <w:rFonts w:ascii="Arial" w:hAnsi="Arial" w:cs="Arial"/>
          <w:color w:val="000000"/>
          <w:lang w:val="uk-UA"/>
        </w:rPr>
        <w:t>ВООЗ</w:t>
      </w:r>
      <w:r w:rsidRPr="0014339A">
        <w:rPr>
          <w:rFonts w:ascii="Arial" w:hAnsi="Arial" w:cs="Arial"/>
          <w:color w:val="000000"/>
          <w:lang w:val="uk-UA"/>
        </w:rPr>
        <w:t xml:space="preserve">), </w:t>
      </w:r>
      <w:r w:rsidRPr="00255826">
        <w:rPr>
          <w:rFonts w:ascii="Arial" w:hAnsi="Arial" w:cs="Arial"/>
          <w:color w:val="000000"/>
          <w:lang w:val="uk-UA"/>
        </w:rPr>
        <w:t>Департамент «Зупинити/Стоп ТБ</w:t>
      </w:r>
      <w:r w:rsidRPr="0014339A">
        <w:rPr>
          <w:rFonts w:ascii="Arial" w:hAnsi="Arial" w:cs="Arial"/>
          <w:color w:val="000000"/>
          <w:lang w:val="uk-UA"/>
        </w:rPr>
        <w:t xml:space="preserve">) </w:t>
      </w:r>
      <w:r w:rsidRPr="00255826">
        <w:rPr>
          <w:rFonts w:ascii="Arial" w:hAnsi="Arial" w:cs="Arial"/>
          <w:color w:val="000000"/>
          <w:lang w:val="uk-UA"/>
        </w:rPr>
        <w:t xml:space="preserve">на основі консенсусу </w:t>
      </w:r>
      <w:r w:rsidR="00013403">
        <w:rPr>
          <w:rFonts w:ascii="Arial" w:hAnsi="Arial" w:cs="Arial"/>
          <w:color w:val="000000"/>
          <w:lang w:val="uk-UA"/>
        </w:rPr>
        <w:t xml:space="preserve">досягнутого </w:t>
      </w:r>
      <w:r w:rsidRPr="00255826">
        <w:rPr>
          <w:rFonts w:ascii="Arial" w:hAnsi="Arial" w:cs="Arial"/>
          <w:color w:val="000000"/>
          <w:lang w:val="uk-UA"/>
        </w:rPr>
        <w:t>під час міжнародної наради Групи Експ</w:t>
      </w:r>
      <w:r w:rsidR="00013403">
        <w:rPr>
          <w:rFonts w:ascii="Arial" w:hAnsi="Arial" w:cs="Arial"/>
          <w:color w:val="000000"/>
          <w:lang w:val="uk-UA"/>
        </w:rPr>
        <w:t xml:space="preserve">ертів, що була скликана ВООЗ, та була проведена </w:t>
      </w:r>
      <w:r w:rsidRPr="00255826">
        <w:rPr>
          <w:rFonts w:ascii="Arial" w:hAnsi="Arial" w:cs="Arial"/>
          <w:color w:val="000000"/>
          <w:lang w:val="uk-UA"/>
        </w:rPr>
        <w:t>у Женеві, Швейцарія, 29-30 січня 2013 року.</w:t>
      </w:r>
    </w:p>
    <w:p w14:paraId="547CDDC4" w14:textId="77777777" w:rsidR="00E568A1" w:rsidRPr="0014339A" w:rsidRDefault="00E568A1" w:rsidP="0037724F">
      <w:pPr>
        <w:autoSpaceDE w:val="0"/>
        <w:autoSpaceDN w:val="0"/>
        <w:adjustRightInd w:val="0"/>
        <w:spacing w:after="0" w:line="240" w:lineRule="auto"/>
        <w:jc w:val="both"/>
        <w:rPr>
          <w:rFonts w:ascii="Arial" w:hAnsi="Arial" w:cs="Arial"/>
          <w:color w:val="000000"/>
          <w:lang w:val="uk-UA"/>
        </w:rPr>
      </w:pPr>
    </w:p>
    <w:p w14:paraId="55547DFF" w14:textId="77777777" w:rsidR="00E568A1" w:rsidRPr="005B6F64" w:rsidRDefault="00E568A1" w:rsidP="00842F6D">
      <w:pPr>
        <w:autoSpaceDE w:val="0"/>
        <w:autoSpaceDN w:val="0"/>
        <w:adjustRightInd w:val="0"/>
        <w:spacing w:after="0" w:line="240" w:lineRule="auto"/>
        <w:jc w:val="both"/>
        <w:rPr>
          <w:rFonts w:ascii="Arial" w:hAnsi="Arial" w:cs="Arial"/>
          <w:color w:val="000000"/>
          <w:lang w:val="uk-UA"/>
        </w:rPr>
      </w:pPr>
      <w:r w:rsidRPr="005B6F64">
        <w:rPr>
          <w:rFonts w:ascii="Arial" w:hAnsi="Arial" w:cs="Arial"/>
          <w:color w:val="000000"/>
          <w:lang w:val="uk-UA"/>
        </w:rPr>
        <w:t xml:space="preserve">ВООЗ висловлює велику вдячність </w:t>
      </w:r>
      <w:r>
        <w:rPr>
          <w:rFonts w:ascii="Arial" w:hAnsi="Arial" w:cs="Arial"/>
          <w:color w:val="000000"/>
          <w:lang w:val="uk-UA"/>
        </w:rPr>
        <w:t>за внесок</w:t>
      </w:r>
      <w:r w:rsidRPr="005B6F64">
        <w:rPr>
          <w:rFonts w:ascii="Arial" w:hAnsi="Arial" w:cs="Arial"/>
          <w:color w:val="000000"/>
          <w:lang w:val="uk-UA"/>
        </w:rPr>
        <w:t xml:space="preserve"> Голови Експертної Групи (</w:t>
      </w:r>
      <w:r w:rsidRPr="00255826">
        <w:rPr>
          <w:rFonts w:ascii="Arial" w:hAnsi="Arial" w:cs="Arial"/>
          <w:color w:val="000000"/>
          <w:lang w:val="en-US"/>
        </w:rPr>
        <w:t>Holger</w:t>
      </w:r>
      <w:r w:rsidRPr="005B6F64">
        <w:rPr>
          <w:rFonts w:ascii="Arial" w:hAnsi="Arial" w:cs="Arial"/>
          <w:color w:val="000000"/>
          <w:lang w:val="uk-UA"/>
        </w:rPr>
        <w:t xml:space="preserve"> </w:t>
      </w:r>
      <w:r w:rsidRPr="00255826">
        <w:rPr>
          <w:rFonts w:ascii="Arial" w:hAnsi="Arial" w:cs="Arial"/>
          <w:color w:val="000000"/>
          <w:lang w:val="en-US"/>
        </w:rPr>
        <w:t>Sch</w:t>
      </w:r>
      <w:r w:rsidR="00A60AE1">
        <w:rPr>
          <w:rFonts w:ascii="Arial" w:hAnsi="Arial" w:cs="Arial"/>
          <w:color w:val="000000"/>
          <w:lang w:val="en-US"/>
        </w:rPr>
        <w:t>u</w:t>
      </w:r>
      <w:r w:rsidRPr="00255826">
        <w:rPr>
          <w:rFonts w:ascii="Arial" w:hAnsi="Arial" w:cs="Arial"/>
          <w:color w:val="000000"/>
          <w:lang w:val="en-US"/>
        </w:rPr>
        <w:t>nemann</w:t>
      </w:r>
      <w:r w:rsidRPr="005B6F64">
        <w:rPr>
          <w:rFonts w:ascii="Arial" w:hAnsi="Arial" w:cs="Arial"/>
          <w:color w:val="000000"/>
          <w:lang w:val="uk-UA"/>
        </w:rPr>
        <w:t>) та її членів (</w:t>
      </w:r>
      <w:r w:rsidRPr="00255826">
        <w:rPr>
          <w:rFonts w:ascii="Arial" w:hAnsi="Arial" w:cs="Arial"/>
          <w:color w:val="000000"/>
          <w:lang w:val="en-US"/>
        </w:rPr>
        <w:t>Elie</w:t>
      </w:r>
      <w:r w:rsidRPr="005B6F64">
        <w:rPr>
          <w:rFonts w:ascii="Arial" w:hAnsi="Arial" w:cs="Arial"/>
          <w:color w:val="000000"/>
          <w:lang w:val="uk-UA"/>
        </w:rPr>
        <w:t xml:space="preserve"> </w:t>
      </w:r>
      <w:r w:rsidRPr="00255826">
        <w:rPr>
          <w:rFonts w:ascii="Arial" w:hAnsi="Arial" w:cs="Arial"/>
          <w:color w:val="000000"/>
          <w:lang w:val="en-US"/>
        </w:rPr>
        <w:t>Akl</w:t>
      </w:r>
      <w:r w:rsidRPr="005B6F64">
        <w:rPr>
          <w:rFonts w:ascii="Arial" w:hAnsi="Arial" w:cs="Arial"/>
          <w:color w:val="000000"/>
          <w:lang w:val="uk-UA"/>
        </w:rPr>
        <w:t xml:space="preserve">, </w:t>
      </w:r>
      <w:r w:rsidRPr="00255826">
        <w:rPr>
          <w:rFonts w:ascii="Arial" w:hAnsi="Arial" w:cs="Arial"/>
          <w:color w:val="000000"/>
          <w:lang w:val="en-US"/>
        </w:rPr>
        <w:t>Adekunle</w:t>
      </w:r>
      <w:r w:rsidRPr="005B6F64">
        <w:rPr>
          <w:rFonts w:ascii="Arial" w:hAnsi="Arial" w:cs="Arial"/>
          <w:color w:val="000000"/>
          <w:lang w:val="uk-UA"/>
        </w:rPr>
        <w:t xml:space="preserve"> </w:t>
      </w:r>
      <w:r w:rsidRPr="00255826">
        <w:rPr>
          <w:rFonts w:ascii="Arial" w:hAnsi="Arial" w:cs="Arial"/>
          <w:color w:val="000000"/>
          <w:lang w:val="en-US"/>
        </w:rPr>
        <w:t>V</w:t>
      </w:r>
      <w:r w:rsidRPr="005B6F64">
        <w:rPr>
          <w:rFonts w:ascii="Arial" w:hAnsi="Arial" w:cs="Arial"/>
          <w:color w:val="000000"/>
          <w:lang w:val="uk-UA"/>
        </w:rPr>
        <w:t xml:space="preserve">. </w:t>
      </w:r>
      <w:r w:rsidRPr="00255826">
        <w:rPr>
          <w:rFonts w:ascii="Arial" w:hAnsi="Arial" w:cs="Arial"/>
          <w:color w:val="000000"/>
          <w:lang w:val="en-US"/>
        </w:rPr>
        <w:t>Babawele</w:t>
      </w:r>
      <w:r w:rsidRPr="005B6F64">
        <w:rPr>
          <w:rFonts w:ascii="Arial" w:hAnsi="Arial" w:cs="Arial"/>
          <w:color w:val="000000"/>
          <w:lang w:val="uk-UA"/>
        </w:rPr>
        <w:t xml:space="preserve">, </w:t>
      </w:r>
      <w:r w:rsidRPr="00255826">
        <w:rPr>
          <w:rFonts w:ascii="Arial" w:hAnsi="Arial" w:cs="Arial"/>
          <w:color w:val="000000"/>
          <w:lang w:val="en-US"/>
        </w:rPr>
        <w:t>Mauricio</w:t>
      </w:r>
      <w:r w:rsidRPr="005B6F64">
        <w:rPr>
          <w:rFonts w:ascii="Arial" w:hAnsi="Arial" w:cs="Arial"/>
          <w:color w:val="000000"/>
          <w:lang w:val="uk-UA"/>
        </w:rPr>
        <w:t xml:space="preserve"> </w:t>
      </w:r>
      <w:r w:rsidRPr="00255826">
        <w:rPr>
          <w:rFonts w:ascii="Arial" w:hAnsi="Arial" w:cs="Arial"/>
          <w:color w:val="000000"/>
          <w:lang w:val="en-US"/>
        </w:rPr>
        <w:t>Baretto</w:t>
      </w:r>
      <w:r w:rsidRPr="005B6F64">
        <w:rPr>
          <w:rFonts w:ascii="Arial" w:hAnsi="Arial" w:cs="Arial"/>
          <w:color w:val="000000"/>
          <w:lang w:val="uk-UA"/>
        </w:rPr>
        <w:t xml:space="preserve">, </w:t>
      </w:r>
      <w:r w:rsidRPr="00255826">
        <w:rPr>
          <w:rFonts w:ascii="Arial" w:hAnsi="Arial" w:cs="Arial"/>
          <w:color w:val="000000"/>
          <w:lang w:val="en-US"/>
        </w:rPr>
        <w:t>Martien</w:t>
      </w:r>
      <w:r w:rsidRPr="005B6F64">
        <w:rPr>
          <w:rFonts w:ascii="Arial" w:hAnsi="Arial" w:cs="Arial"/>
          <w:color w:val="000000"/>
          <w:lang w:val="uk-UA"/>
        </w:rPr>
        <w:t xml:space="preserve"> </w:t>
      </w:r>
      <w:r w:rsidRPr="00255826">
        <w:rPr>
          <w:rFonts w:ascii="Arial" w:hAnsi="Arial" w:cs="Arial"/>
          <w:color w:val="000000"/>
          <w:lang w:val="en-US"/>
        </w:rPr>
        <w:t>W</w:t>
      </w:r>
      <w:r w:rsidRPr="005B6F64">
        <w:rPr>
          <w:rFonts w:ascii="Arial" w:hAnsi="Arial" w:cs="Arial"/>
          <w:color w:val="000000"/>
          <w:lang w:val="uk-UA"/>
        </w:rPr>
        <w:t xml:space="preserve">. </w:t>
      </w:r>
      <w:r w:rsidRPr="00255826">
        <w:rPr>
          <w:rFonts w:ascii="Arial" w:hAnsi="Arial" w:cs="Arial"/>
          <w:color w:val="000000"/>
          <w:lang w:val="en-US"/>
        </w:rPr>
        <w:t>Borgdorff</w:t>
      </w:r>
      <w:r w:rsidRPr="005B6F64">
        <w:rPr>
          <w:rFonts w:ascii="Arial" w:hAnsi="Arial" w:cs="Arial"/>
          <w:color w:val="000000"/>
          <w:lang w:val="uk-UA"/>
        </w:rPr>
        <w:t xml:space="preserve">, </w:t>
      </w:r>
      <w:r w:rsidRPr="00255826">
        <w:rPr>
          <w:rFonts w:ascii="Arial" w:hAnsi="Arial" w:cs="Arial"/>
          <w:color w:val="000000"/>
          <w:lang w:val="en-US"/>
        </w:rPr>
        <w:t>Erlina</w:t>
      </w:r>
      <w:r w:rsidRPr="005B6F64">
        <w:rPr>
          <w:rFonts w:ascii="Arial" w:hAnsi="Arial" w:cs="Arial"/>
          <w:color w:val="000000"/>
          <w:lang w:val="uk-UA"/>
        </w:rPr>
        <w:t xml:space="preserve"> </w:t>
      </w:r>
      <w:r w:rsidRPr="00255826">
        <w:rPr>
          <w:rFonts w:ascii="Arial" w:hAnsi="Arial" w:cs="Arial"/>
          <w:color w:val="000000"/>
          <w:lang w:val="en-US"/>
        </w:rPr>
        <w:t>Borhan</w:t>
      </w:r>
      <w:r w:rsidRPr="005B6F64">
        <w:rPr>
          <w:rFonts w:ascii="Arial" w:hAnsi="Arial" w:cs="Arial"/>
          <w:color w:val="000000"/>
          <w:lang w:val="uk-UA"/>
        </w:rPr>
        <w:t xml:space="preserve">, </w:t>
      </w:r>
      <w:r w:rsidRPr="00255826">
        <w:rPr>
          <w:rFonts w:ascii="Arial" w:hAnsi="Arial" w:cs="Arial"/>
          <w:color w:val="000000"/>
          <w:lang w:val="en-US"/>
        </w:rPr>
        <w:t>Richard</w:t>
      </w:r>
      <w:r w:rsidRPr="005B6F64">
        <w:rPr>
          <w:rFonts w:ascii="Arial" w:hAnsi="Arial" w:cs="Arial"/>
          <w:color w:val="000000"/>
          <w:lang w:val="uk-UA"/>
        </w:rPr>
        <w:t xml:space="preserve"> </w:t>
      </w:r>
      <w:r w:rsidRPr="00255826">
        <w:rPr>
          <w:rFonts w:ascii="Arial" w:hAnsi="Arial" w:cs="Arial"/>
          <w:color w:val="000000"/>
          <w:lang w:val="en-US"/>
        </w:rPr>
        <w:t>E</w:t>
      </w:r>
      <w:r w:rsidRPr="005B6F64">
        <w:rPr>
          <w:rFonts w:ascii="Arial" w:hAnsi="Arial" w:cs="Arial"/>
          <w:color w:val="000000"/>
          <w:lang w:val="uk-UA"/>
        </w:rPr>
        <w:t xml:space="preserve">. </w:t>
      </w:r>
      <w:r w:rsidRPr="00255826">
        <w:rPr>
          <w:rFonts w:ascii="Arial" w:hAnsi="Arial" w:cs="Arial"/>
          <w:color w:val="000000"/>
          <w:lang w:val="en-US"/>
        </w:rPr>
        <w:t>Chaisson</w:t>
      </w:r>
      <w:r w:rsidRPr="005B6F64">
        <w:rPr>
          <w:rFonts w:ascii="Arial" w:hAnsi="Arial" w:cs="Arial"/>
          <w:color w:val="000000"/>
          <w:lang w:val="uk-UA"/>
        </w:rPr>
        <w:t xml:space="preserve">, </w:t>
      </w:r>
      <w:r w:rsidRPr="00255826">
        <w:rPr>
          <w:rFonts w:ascii="Arial" w:hAnsi="Arial" w:cs="Arial"/>
          <w:color w:val="000000"/>
          <w:lang w:val="en-US"/>
        </w:rPr>
        <w:t>Lucy</w:t>
      </w:r>
      <w:r w:rsidRPr="005B6F64">
        <w:rPr>
          <w:rFonts w:ascii="Arial" w:hAnsi="Arial" w:cs="Arial"/>
          <w:color w:val="000000"/>
          <w:lang w:val="uk-UA"/>
        </w:rPr>
        <w:t xml:space="preserve"> </w:t>
      </w:r>
      <w:r w:rsidRPr="00255826">
        <w:rPr>
          <w:rFonts w:ascii="Arial" w:hAnsi="Arial" w:cs="Arial"/>
          <w:color w:val="000000"/>
          <w:lang w:val="en-US"/>
        </w:rPr>
        <w:t>Chesire</w:t>
      </w:r>
      <w:r w:rsidRPr="005B6F64">
        <w:rPr>
          <w:rFonts w:ascii="Arial" w:hAnsi="Arial" w:cs="Arial"/>
          <w:color w:val="000000"/>
          <w:lang w:val="uk-UA"/>
        </w:rPr>
        <w:t xml:space="preserve">, </w:t>
      </w:r>
      <w:r w:rsidRPr="00255826">
        <w:rPr>
          <w:rFonts w:ascii="Arial" w:hAnsi="Arial" w:cs="Arial"/>
          <w:color w:val="000000"/>
          <w:lang w:val="en-US"/>
        </w:rPr>
        <w:t>Erica</w:t>
      </w:r>
      <w:r w:rsidRPr="005B6F64">
        <w:rPr>
          <w:rFonts w:ascii="Arial" w:hAnsi="Arial" w:cs="Arial"/>
          <w:color w:val="000000"/>
          <w:lang w:val="uk-UA"/>
        </w:rPr>
        <w:t xml:space="preserve"> </w:t>
      </w:r>
      <w:r w:rsidRPr="00255826">
        <w:rPr>
          <w:rFonts w:ascii="Arial" w:hAnsi="Arial" w:cs="Arial"/>
          <w:color w:val="000000"/>
          <w:lang w:val="en-US"/>
        </w:rPr>
        <w:t>Lessem</w:t>
      </w:r>
      <w:r w:rsidRPr="005B6F64">
        <w:rPr>
          <w:rFonts w:ascii="Arial" w:hAnsi="Arial" w:cs="Arial"/>
          <w:color w:val="000000"/>
          <w:lang w:val="uk-UA"/>
        </w:rPr>
        <w:t xml:space="preserve">, </w:t>
      </w:r>
      <w:r w:rsidRPr="00255826">
        <w:rPr>
          <w:rFonts w:ascii="Arial" w:hAnsi="Arial" w:cs="Arial"/>
          <w:color w:val="000000"/>
          <w:lang w:val="en-US"/>
        </w:rPr>
        <w:t>Norbert</w:t>
      </w:r>
      <w:r w:rsidRPr="005B6F64">
        <w:rPr>
          <w:rFonts w:ascii="Arial" w:hAnsi="Arial" w:cs="Arial"/>
          <w:color w:val="000000"/>
          <w:lang w:val="uk-UA"/>
        </w:rPr>
        <w:t xml:space="preserve"> </w:t>
      </w:r>
      <w:r w:rsidRPr="00255826">
        <w:rPr>
          <w:rFonts w:ascii="Arial" w:hAnsi="Arial" w:cs="Arial"/>
          <w:color w:val="000000"/>
          <w:lang w:val="en-US"/>
        </w:rPr>
        <w:t>Ndjeka</w:t>
      </w:r>
      <w:r w:rsidRPr="005B6F64">
        <w:rPr>
          <w:rFonts w:ascii="Arial" w:hAnsi="Arial" w:cs="Arial"/>
          <w:color w:val="000000"/>
          <w:lang w:val="uk-UA"/>
        </w:rPr>
        <w:t xml:space="preserve">, </w:t>
      </w:r>
      <w:r w:rsidRPr="00255826">
        <w:rPr>
          <w:rFonts w:ascii="Arial" w:hAnsi="Arial" w:cs="Arial"/>
          <w:color w:val="000000"/>
          <w:lang w:val="en-US"/>
        </w:rPr>
        <w:t>Viet</w:t>
      </w:r>
      <w:r w:rsidRPr="005B6F64">
        <w:rPr>
          <w:rFonts w:ascii="Arial" w:hAnsi="Arial" w:cs="Arial"/>
          <w:color w:val="000000"/>
          <w:lang w:val="uk-UA"/>
        </w:rPr>
        <w:t xml:space="preserve"> </w:t>
      </w:r>
      <w:r w:rsidRPr="00255826">
        <w:rPr>
          <w:rFonts w:ascii="Arial" w:hAnsi="Arial" w:cs="Arial"/>
          <w:color w:val="000000"/>
          <w:lang w:val="en-US"/>
        </w:rPr>
        <w:t>Nhung</w:t>
      </w:r>
      <w:r w:rsidRPr="005B6F64">
        <w:rPr>
          <w:rFonts w:ascii="Arial" w:hAnsi="Arial" w:cs="Arial"/>
          <w:color w:val="000000"/>
          <w:lang w:val="uk-UA"/>
        </w:rPr>
        <w:t xml:space="preserve"> </w:t>
      </w:r>
      <w:r w:rsidRPr="00255826">
        <w:rPr>
          <w:rFonts w:ascii="Arial" w:hAnsi="Arial" w:cs="Arial"/>
          <w:color w:val="000000"/>
          <w:lang w:val="en-US"/>
        </w:rPr>
        <w:t>Nguyen</w:t>
      </w:r>
      <w:r w:rsidRPr="005B6F64">
        <w:rPr>
          <w:rFonts w:ascii="Arial" w:hAnsi="Arial" w:cs="Arial"/>
          <w:color w:val="000000"/>
          <w:lang w:val="uk-UA"/>
        </w:rPr>
        <w:t xml:space="preserve">, </w:t>
      </w:r>
      <w:r w:rsidRPr="00255826">
        <w:rPr>
          <w:rFonts w:ascii="Arial" w:hAnsi="Arial" w:cs="Arial"/>
          <w:color w:val="000000"/>
          <w:lang w:val="en-US"/>
        </w:rPr>
        <w:t>Joshua</w:t>
      </w:r>
      <w:r w:rsidRPr="005B6F64">
        <w:rPr>
          <w:rFonts w:ascii="Arial" w:hAnsi="Arial" w:cs="Arial"/>
          <w:color w:val="000000"/>
          <w:lang w:val="uk-UA"/>
        </w:rPr>
        <w:t xml:space="preserve"> </w:t>
      </w:r>
      <w:r w:rsidRPr="00255826">
        <w:rPr>
          <w:rFonts w:ascii="Arial" w:hAnsi="Arial" w:cs="Arial"/>
          <w:color w:val="000000"/>
          <w:lang w:val="en-US"/>
        </w:rPr>
        <w:t>Obasanya</w:t>
      </w:r>
      <w:r w:rsidRPr="005B6F64">
        <w:rPr>
          <w:rFonts w:ascii="Arial" w:hAnsi="Arial" w:cs="Arial"/>
          <w:color w:val="000000"/>
          <w:lang w:val="uk-UA"/>
        </w:rPr>
        <w:t xml:space="preserve">, </w:t>
      </w:r>
      <w:r w:rsidRPr="00255826">
        <w:rPr>
          <w:rFonts w:ascii="Arial" w:hAnsi="Arial" w:cs="Arial"/>
          <w:color w:val="000000"/>
          <w:lang w:val="en-US"/>
        </w:rPr>
        <w:t>Michael</w:t>
      </w:r>
      <w:r w:rsidRPr="005B6F64">
        <w:rPr>
          <w:rFonts w:ascii="Arial" w:hAnsi="Arial" w:cs="Arial"/>
          <w:color w:val="000000"/>
          <w:lang w:val="uk-UA"/>
        </w:rPr>
        <w:t xml:space="preserve"> </w:t>
      </w:r>
      <w:r w:rsidRPr="00255826">
        <w:rPr>
          <w:rFonts w:ascii="Arial" w:hAnsi="Arial" w:cs="Arial"/>
          <w:color w:val="000000"/>
          <w:lang w:val="en-US"/>
        </w:rPr>
        <w:t>L</w:t>
      </w:r>
      <w:r w:rsidRPr="005B6F64">
        <w:rPr>
          <w:rFonts w:ascii="Arial" w:hAnsi="Arial" w:cs="Arial"/>
          <w:color w:val="000000"/>
          <w:lang w:val="uk-UA"/>
        </w:rPr>
        <w:t xml:space="preserve">. </w:t>
      </w:r>
      <w:r w:rsidRPr="00255826">
        <w:rPr>
          <w:rFonts w:ascii="Arial" w:hAnsi="Arial" w:cs="Arial"/>
          <w:color w:val="000000"/>
          <w:lang w:val="en-US"/>
        </w:rPr>
        <w:t>Rich</w:t>
      </w:r>
      <w:r w:rsidRPr="005B6F64">
        <w:rPr>
          <w:rFonts w:ascii="Arial" w:hAnsi="Arial" w:cs="Arial"/>
          <w:color w:val="000000"/>
          <w:lang w:val="uk-UA"/>
        </w:rPr>
        <w:t xml:space="preserve">, </w:t>
      </w:r>
      <w:r w:rsidRPr="00255826">
        <w:rPr>
          <w:rFonts w:ascii="Arial" w:hAnsi="Arial" w:cs="Arial"/>
          <w:color w:val="000000"/>
          <w:lang w:val="en-US"/>
        </w:rPr>
        <w:t>Simon</w:t>
      </w:r>
      <w:r w:rsidRPr="005B6F64">
        <w:rPr>
          <w:rFonts w:ascii="Arial" w:hAnsi="Arial" w:cs="Arial"/>
          <w:color w:val="000000"/>
          <w:lang w:val="uk-UA"/>
        </w:rPr>
        <w:t xml:space="preserve"> </w:t>
      </w:r>
      <w:r w:rsidRPr="00255826">
        <w:rPr>
          <w:rFonts w:ascii="Arial" w:hAnsi="Arial" w:cs="Arial"/>
          <w:color w:val="000000"/>
          <w:lang w:val="en-US"/>
        </w:rPr>
        <w:t>Schaaf</w:t>
      </w:r>
      <w:r w:rsidRPr="005B6F64">
        <w:rPr>
          <w:rFonts w:ascii="Arial" w:hAnsi="Arial" w:cs="Arial"/>
          <w:color w:val="000000"/>
          <w:lang w:val="uk-UA"/>
        </w:rPr>
        <w:t xml:space="preserve">, </w:t>
      </w:r>
      <w:r w:rsidRPr="00255826">
        <w:rPr>
          <w:rFonts w:ascii="Arial" w:hAnsi="Arial" w:cs="Arial"/>
          <w:color w:val="000000"/>
          <w:lang w:val="en-US"/>
        </w:rPr>
        <w:t>Francis</w:t>
      </w:r>
      <w:r w:rsidRPr="005B6F64">
        <w:rPr>
          <w:rFonts w:ascii="Arial" w:hAnsi="Arial" w:cs="Arial"/>
          <w:color w:val="000000"/>
          <w:lang w:val="uk-UA"/>
        </w:rPr>
        <w:t xml:space="preserve"> </w:t>
      </w:r>
      <w:r w:rsidRPr="00255826">
        <w:rPr>
          <w:rFonts w:ascii="Arial" w:hAnsi="Arial" w:cs="Arial"/>
          <w:color w:val="000000"/>
          <w:lang w:val="en-US"/>
        </w:rPr>
        <w:t>Varaine</w:t>
      </w:r>
      <w:r w:rsidRPr="005B6F64">
        <w:rPr>
          <w:rFonts w:ascii="Arial" w:hAnsi="Arial" w:cs="Arial"/>
          <w:color w:val="000000"/>
          <w:lang w:val="uk-UA"/>
        </w:rPr>
        <w:t xml:space="preserve">, </w:t>
      </w:r>
      <w:r w:rsidRPr="00255826">
        <w:rPr>
          <w:rFonts w:ascii="Arial" w:hAnsi="Arial" w:cs="Arial"/>
          <w:color w:val="000000"/>
          <w:lang w:val="en-US"/>
        </w:rPr>
        <w:t>Andrew</w:t>
      </w:r>
      <w:r w:rsidRPr="005B6F64">
        <w:rPr>
          <w:rFonts w:ascii="Arial" w:hAnsi="Arial" w:cs="Arial"/>
          <w:color w:val="000000"/>
          <w:lang w:val="uk-UA"/>
        </w:rPr>
        <w:t xml:space="preserve"> </w:t>
      </w:r>
      <w:r w:rsidRPr="00255826">
        <w:rPr>
          <w:rFonts w:ascii="Arial" w:hAnsi="Arial" w:cs="Arial"/>
          <w:color w:val="000000"/>
          <w:lang w:val="en-US"/>
        </w:rPr>
        <w:t>Vernon</w:t>
      </w:r>
      <w:r w:rsidRPr="005B6F64">
        <w:rPr>
          <w:rFonts w:ascii="Arial" w:hAnsi="Arial" w:cs="Arial"/>
          <w:color w:val="000000"/>
          <w:lang w:val="uk-UA"/>
        </w:rPr>
        <w:t xml:space="preserve">, </w:t>
      </w:r>
      <w:r w:rsidRPr="00255826">
        <w:rPr>
          <w:rFonts w:ascii="Arial" w:hAnsi="Arial" w:cs="Arial"/>
          <w:color w:val="000000"/>
          <w:lang w:val="en-US"/>
        </w:rPr>
        <w:t>Susanne</w:t>
      </w:r>
      <w:r w:rsidRPr="005B6F64">
        <w:rPr>
          <w:rFonts w:ascii="Arial" w:hAnsi="Arial" w:cs="Arial"/>
          <w:color w:val="000000"/>
          <w:lang w:val="uk-UA"/>
        </w:rPr>
        <w:t xml:space="preserve"> </w:t>
      </w:r>
      <w:r w:rsidRPr="00255826">
        <w:rPr>
          <w:rFonts w:ascii="Arial" w:hAnsi="Arial" w:cs="Arial"/>
          <w:color w:val="000000"/>
          <w:lang w:val="en-US"/>
        </w:rPr>
        <w:t>van</w:t>
      </w:r>
      <w:r w:rsidRPr="005B6F64">
        <w:rPr>
          <w:rFonts w:ascii="Arial" w:hAnsi="Arial" w:cs="Arial"/>
          <w:color w:val="000000"/>
          <w:lang w:val="uk-UA"/>
        </w:rPr>
        <w:t xml:space="preserve"> </w:t>
      </w:r>
      <w:r w:rsidRPr="00255826">
        <w:rPr>
          <w:rFonts w:ascii="Arial" w:hAnsi="Arial" w:cs="Arial"/>
          <w:color w:val="000000"/>
          <w:lang w:val="en-US"/>
        </w:rPr>
        <w:t>Den</w:t>
      </w:r>
      <w:r w:rsidRPr="005B6F64">
        <w:rPr>
          <w:rFonts w:ascii="Arial" w:hAnsi="Arial" w:cs="Arial"/>
          <w:color w:val="000000"/>
          <w:lang w:val="uk-UA"/>
        </w:rPr>
        <w:t xml:space="preserve"> </w:t>
      </w:r>
      <w:r w:rsidRPr="00255826">
        <w:rPr>
          <w:rFonts w:ascii="Arial" w:hAnsi="Arial" w:cs="Arial"/>
          <w:color w:val="000000"/>
          <w:lang w:val="en-US"/>
        </w:rPr>
        <w:t>Hof</w:t>
      </w:r>
      <w:r w:rsidRPr="005B6F64">
        <w:rPr>
          <w:rFonts w:ascii="Arial" w:hAnsi="Arial" w:cs="Arial"/>
          <w:color w:val="000000"/>
          <w:lang w:val="uk-UA"/>
        </w:rPr>
        <w:t xml:space="preserve"> </w:t>
      </w:r>
      <w:r w:rsidRPr="00255826">
        <w:rPr>
          <w:rFonts w:ascii="Arial" w:hAnsi="Arial" w:cs="Arial"/>
          <w:color w:val="000000"/>
          <w:lang w:val="en-US"/>
        </w:rPr>
        <w:t>and</w:t>
      </w:r>
      <w:r w:rsidRPr="005B6F64">
        <w:rPr>
          <w:rFonts w:ascii="Arial" w:hAnsi="Arial" w:cs="Arial"/>
          <w:color w:val="000000"/>
          <w:lang w:val="uk-UA"/>
        </w:rPr>
        <w:t xml:space="preserve"> </w:t>
      </w:r>
      <w:r w:rsidRPr="00255826">
        <w:rPr>
          <w:rFonts w:ascii="Arial" w:hAnsi="Arial" w:cs="Arial"/>
          <w:color w:val="000000"/>
          <w:lang w:val="en-US"/>
        </w:rPr>
        <w:t>Piret</w:t>
      </w:r>
      <w:r w:rsidRPr="005B6F64">
        <w:rPr>
          <w:rFonts w:ascii="Arial" w:hAnsi="Arial" w:cs="Arial"/>
          <w:color w:val="000000"/>
          <w:lang w:val="uk-UA"/>
        </w:rPr>
        <w:t xml:space="preserve"> </w:t>
      </w:r>
      <w:r w:rsidRPr="00255826">
        <w:rPr>
          <w:rFonts w:ascii="Arial" w:hAnsi="Arial" w:cs="Arial"/>
          <w:color w:val="000000"/>
          <w:lang w:val="en-US"/>
        </w:rPr>
        <w:t>Viiklepp</w:t>
      </w:r>
      <w:r w:rsidRPr="005B6F64">
        <w:rPr>
          <w:rFonts w:ascii="Arial" w:hAnsi="Arial" w:cs="Arial"/>
          <w:color w:val="000000"/>
          <w:lang w:val="uk-UA"/>
        </w:rPr>
        <w:t xml:space="preserve">), які спільно розробили рекомендації, а також </w:t>
      </w:r>
      <w:r>
        <w:rPr>
          <w:rFonts w:ascii="Arial" w:hAnsi="Arial" w:cs="Arial"/>
          <w:color w:val="000000"/>
          <w:lang w:val="uk-UA"/>
        </w:rPr>
        <w:t xml:space="preserve">за </w:t>
      </w:r>
      <w:r w:rsidRPr="005B6F64">
        <w:rPr>
          <w:rFonts w:ascii="Arial" w:hAnsi="Arial" w:cs="Arial"/>
          <w:color w:val="000000"/>
          <w:lang w:val="uk-UA"/>
        </w:rPr>
        <w:t>внесок консультантів з технічних ресурсів (</w:t>
      </w:r>
      <w:r w:rsidRPr="00255826">
        <w:rPr>
          <w:rFonts w:ascii="Arial" w:hAnsi="Arial" w:cs="Arial"/>
          <w:color w:val="000000"/>
          <w:lang w:val="en-US"/>
        </w:rPr>
        <w:t>Bernard</w:t>
      </w:r>
      <w:r w:rsidRPr="005B6F64">
        <w:rPr>
          <w:rFonts w:ascii="Arial" w:hAnsi="Arial" w:cs="Arial"/>
          <w:color w:val="000000"/>
          <w:lang w:val="uk-UA"/>
        </w:rPr>
        <w:t xml:space="preserve"> </w:t>
      </w:r>
      <w:r w:rsidRPr="00255826">
        <w:rPr>
          <w:rFonts w:ascii="Arial" w:hAnsi="Arial" w:cs="Arial"/>
          <w:color w:val="000000"/>
          <w:lang w:val="en-US"/>
        </w:rPr>
        <w:t>Fourie</w:t>
      </w:r>
      <w:r w:rsidRPr="005B6F64">
        <w:rPr>
          <w:rFonts w:ascii="Arial" w:hAnsi="Arial" w:cs="Arial"/>
          <w:color w:val="000000"/>
          <w:lang w:val="uk-UA"/>
        </w:rPr>
        <w:t xml:space="preserve">, </w:t>
      </w:r>
      <w:r w:rsidRPr="00255826">
        <w:rPr>
          <w:rFonts w:ascii="Arial" w:hAnsi="Arial" w:cs="Arial"/>
          <w:color w:val="000000"/>
          <w:lang w:val="en-US"/>
        </w:rPr>
        <w:t>Ekaterina</w:t>
      </w:r>
      <w:r w:rsidRPr="005B6F64">
        <w:rPr>
          <w:rFonts w:ascii="Arial" w:hAnsi="Arial" w:cs="Arial"/>
          <w:color w:val="000000"/>
          <w:lang w:val="uk-UA"/>
        </w:rPr>
        <w:t xml:space="preserve"> </w:t>
      </w:r>
      <w:r w:rsidRPr="00255826">
        <w:rPr>
          <w:rFonts w:ascii="Arial" w:hAnsi="Arial" w:cs="Arial"/>
          <w:color w:val="000000"/>
          <w:lang w:val="en-US"/>
        </w:rPr>
        <w:t>Kurbatova</w:t>
      </w:r>
      <w:r w:rsidRPr="005B6F64">
        <w:rPr>
          <w:rFonts w:ascii="Arial" w:hAnsi="Arial" w:cs="Arial"/>
          <w:color w:val="000000"/>
          <w:lang w:val="uk-UA"/>
        </w:rPr>
        <w:t xml:space="preserve">, </w:t>
      </w:r>
      <w:r w:rsidRPr="00255826">
        <w:rPr>
          <w:rFonts w:ascii="Arial" w:hAnsi="Arial" w:cs="Arial"/>
          <w:color w:val="000000"/>
          <w:lang w:val="en-US"/>
        </w:rPr>
        <w:t>Charles</w:t>
      </w:r>
      <w:r w:rsidRPr="005B6F64">
        <w:rPr>
          <w:rFonts w:ascii="Arial" w:hAnsi="Arial" w:cs="Arial"/>
          <w:color w:val="000000"/>
          <w:lang w:val="uk-UA"/>
        </w:rPr>
        <w:t xml:space="preserve"> </w:t>
      </w:r>
      <w:r w:rsidRPr="00255826">
        <w:rPr>
          <w:rFonts w:ascii="Arial" w:hAnsi="Arial" w:cs="Arial"/>
          <w:color w:val="000000"/>
          <w:lang w:val="en-US"/>
        </w:rPr>
        <w:t>Peloquin</w:t>
      </w:r>
      <w:r w:rsidRPr="005B6F64">
        <w:rPr>
          <w:rFonts w:ascii="Arial" w:hAnsi="Arial" w:cs="Arial"/>
          <w:color w:val="000000"/>
          <w:lang w:val="uk-UA"/>
        </w:rPr>
        <w:t xml:space="preserve"> </w:t>
      </w:r>
      <w:r w:rsidRPr="00255826">
        <w:rPr>
          <w:rFonts w:ascii="Arial" w:hAnsi="Arial" w:cs="Arial"/>
          <w:color w:val="000000"/>
          <w:lang w:val="en-US"/>
        </w:rPr>
        <w:t>and</w:t>
      </w:r>
      <w:r w:rsidRPr="005B6F64">
        <w:rPr>
          <w:rFonts w:ascii="Arial" w:hAnsi="Arial" w:cs="Arial"/>
          <w:color w:val="000000"/>
          <w:lang w:val="uk-UA"/>
        </w:rPr>
        <w:t xml:space="preserve"> </w:t>
      </w:r>
      <w:r w:rsidRPr="00255826">
        <w:rPr>
          <w:rFonts w:ascii="Arial" w:hAnsi="Arial" w:cs="Arial"/>
          <w:color w:val="000000"/>
          <w:lang w:val="en-US"/>
        </w:rPr>
        <w:t>Anna</w:t>
      </w:r>
      <w:r w:rsidRPr="005B6F64">
        <w:rPr>
          <w:rFonts w:ascii="Arial" w:hAnsi="Arial" w:cs="Arial"/>
          <w:color w:val="000000"/>
          <w:lang w:val="uk-UA"/>
        </w:rPr>
        <w:t xml:space="preserve"> </w:t>
      </w:r>
      <w:r w:rsidRPr="00255826">
        <w:rPr>
          <w:rFonts w:ascii="Arial" w:hAnsi="Arial" w:cs="Arial"/>
          <w:color w:val="000000"/>
          <w:lang w:val="en-US"/>
        </w:rPr>
        <w:t>Vassall</w:t>
      </w:r>
      <w:r w:rsidRPr="005B6F64">
        <w:rPr>
          <w:rFonts w:ascii="Arial" w:hAnsi="Arial" w:cs="Arial"/>
          <w:color w:val="000000"/>
          <w:lang w:val="uk-UA"/>
        </w:rPr>
        <w:t>).</w:t>
      </w:r>
    </w:p>
    <w:p w14:paraId="257278A7" w14:textId="77777777" w:rsidR="00E568A1" w:rsidRPr="00A60AE1" w:rsidRDefault="00E568A1" w:rsidP="0037724F">
      <w:pPr>
        <w:autoSpaceDE w:val="0"/>
        <w:autoSpaceDN w:val="0"/>
        <w:adjustRightInd w:val="0"/>
        <w:spacing w:after="0" w:line="240" w:lineRule="auto"/>
        <w:jc w:val="both"/>
        <w:rPr>
          <w:rFonts w:ascii="Arial" w:hAnsi="Arial" w:cs="Arial"/>
          <w:color w:val="000000"/>
          <w:lang w:val="uk-UA"/>
        </w:rPr>
      </w:pPr>
    </w:p>
    <w:p w14:paraId="338B706A" w14:textId="785E6C45" w:rsidR="00E568A1" w:rsidRPr="00A60AE1" w:rsidRDefault="00E568A1" w:rsidP="0037724F">
      <w:pPr>
        <w:autoSpaceDE w:val="0"/>
        <w:autoSpaceDN w:val="0"/>
        <w:adjustRightInd w:val="0"/>
        <w:spacing w:after="0" w:line="240" w:lineRule="auto"/>
        <w:jc w:val="both"/>
        <w:rPr>
          <w:rFonts w:ascii="Arial" w:hAnsi="Arial" w:cs="Arial"/>
          <w:color w:val="000000"/>
          <w:lang w:val="uk-UA"/>
        </w:rPr>
      </w:pPr>
      <w:r w:rsidRPr="00A60AE1">
        <w:rPr>
          <w:rFonts w:ascii="Arial" w:hAnsi="Arial" w:cs="Arial"/>
          <w:color w:val="000000"/>
          <w:lang w:val="uk-UA"/>
        </w:rPr>
        <w:t xml:space="preserve">ВООЗ також визнає внесок членів </w:t>
      </w:r>
      <w:r>
        <w:rPr>
          <w:rFonts w:ascii="Arial" w:hAnsi="Arial" w:cs="Arial"/>
          <w:color w:val="000000"/>
          <w:lang w:val="uk-UA"/>
        </w:rPr>
        <w:t>Групи зовнішніх експертів</w:t>
      </w:r>
      <w:r w:rsidRPr="00A60AE1">
        <w:rPr>
          <w:rFonts w:ascii="Arial" w:hAnsi="Arial" w:cs="Arial"/>
          <w:color w:val="000000"/>
          <w:lang w:val="uk-UA"/>
        </w:rPr>
        <w:t xml:space="preserve"> (</w:t>
      </w:r>
      <w:r w:rsidRPr="00255826">
        <w:rPr>
          <w:rFonts w:ascii="Arial" w:hAnsi="Arial" w:cs="Arial"/>
          <w:color w:val="000000"/>
          <w:lang w:val="en-US"/>
        </w:rPr>
        <w:t>Jose</w:t>
      </w:r>
      <w:r w:rsidRPr="00A60AE1">
        <w:rPr>
          <w:rFonts w:ascii="Arial" w:hAnsi="Arial" w:cs="Arial"/>
          <w:color w:val="000000"/>
          <w:lang w:val="uk-UA"/>
        </w:rPr>
        <w:t xml:space="preserve"> </w:t>
      </w:r>
      <w:r w:rsidRPr="00255826">
        <w:rPr>
          <w:rFonts w:ascii="Arial" w:hAnsi="Arial" w:cs="Arial"/>
          <w:color w:val="000000"/>
          <w:lang w:val="en-US"/>
        </w:rPr>
        <w:t>A</w:t>
      </w:r>
      <w:r w:rsidRPr="00A60AE1">
        <w:rPr>
          <w:rFonts w:ascii="Arial" w:hAnsi="Arial" w:cs="Arial"/>
          <w:color w:val="000000"/>
          <w:lang w:val="uk-UA"/>
        </w:rPr>
        <w:t xml:space="preserve">. </w:t>
      </w:r>
      <w:r w:rsidRPr="00255826">
        <w:rPr>
          <w:rFonts w:ascii="Arial" w:hAnsi="Arial" w:cs="Arial"/>
          <w:color w:val="000000"/>
          <w:lang w:val="en-US"/>
        </w:rPr>
        <w:t>Caminero</w:t>
      </w:r>
      <w:r w:rsidRPr="00A60AE1">
        <w:rPr>
          <w:rFonts w:ascii="Arial" w:hAnsi="Arial" w:cs="Arial"/>
          <w:color w:val="000000"/>
          <w:lang w:val="uk-UA"/>
        </w:rPr>
        <w:t xml:space="preserve">, </w:t>
      </w:r>
      <w:r w:rsidRPr="00255826">
        <w:rPr>
          <w:rFonts w:ascii="Arial" w:hAnsi="Arial" w:cs="Arial"/>
          <w:color w:val="000000"/>
          <w:lang w:val="en-US"/>
        </w:rPr>
        <w:t>Gavin</w:t>
      </w:r>
      <w:r w:rsidRPr="00A60AE1">
        <w:rPr>
          <w:rFonts w:ascii="Arial" w:hAnsi="Arial" w:cs="Arial"/>
          <w:color w:val="000000"/>
          <w:lang w:val="uk-UA"/>
        </w:rPr>
        <w:t xml:space="preserve"> </w:t>
      </w:r>
      <w:r w:rsidRPr="00255826">
        <w:rPr>
          <w:rFonts w:ascii="Arial" w:hAnsi="Arial" w:cs="Arial"/>
          <w:color w:val="000000"/>
          <w:lang w:val="en-US"/>
        </w:rPr>
        <w:t>Churchyard</w:t>
      </w:r>
      <w:r w:rsidRPr="00A60AE1">
        <w:rPr>
          <w:rFonts w:ascii="Arial" w:hAnsi="Arial" w:cs="Arial"/>
          <w:color w:val="000000"/>
          <w:lang w:val="uk-UA"/>
        </w:rPr>
        <w:t xml:space="preserve">, </w:t>
      </w:r>
      <w:r w:rsidRPr="00255826">
        <w:rPr>
          <w:rFonts w:ascii="Arial" w:hAnsi="Arial" w:cs="Arial"/>
          <w:color w:val="000000"/>
          <w:lang w:val="en-US"/>
        </w:rPr>
        <w:t>Anna</w:t>
      </w:r>
      <w:r w:rsidRPr="00A60AE1">
        <w:rPr>
          <w:rFonts w:ascii="Arial" w:hAnsi="Arial" w:cs="Arial"/>
          <w:color w:val="000000"/>
          <w:lang w:val="uk-UA"/>
        </w:rPr>
        <w:t xml:space="preserve"> </w:t>
      </w:r>
      <w:r w:rsidRPr="00255826">
        <w:rPr>
          <w:rFonts w:ascii="Arial" w:hAnsi="Arial" w:cs="Arial"/>
          <w:color w:val="000000"/>
          <w:lang w:val="en-US"/>
        </w:rPr>
        <w:t>Marie</w:t>
      </w:r>
      <w:r w:rsidRPr="00A60AE1">
        <w:rPr>
          <w:rFonts w:ascii="Arial" w:hAnsi="Arial" w:cs="Arial"/>
          <w:color w:val="000000"/>
          <w:lang w:val="uk-UA"/>
        </w:rPr>
        <w:t xml:space="preserve"> </w:t>
      </w:r>
      <w:r w:rsidRPr="00255826">
        <w:rPr>
          <w:rFonts w:ascii="Arial" w:hAnsi="Arial" w:cs="Arial"/>
          <w:color w:val="000000"/>
          <w:lang w:val="en-US"/>
        </w:rPr>
        <w:t>Celina</w:t>
      </w:r>
      <w:r w:rsidRPr="00A60AE1">
        <w:rPr>
          <w:rFonts w:ascii="Arial" w:hAnsi="Arial" w:cs="Arial"/>
          <w:color w:val="000000"/>
          <w:lang w:val="uk-UA"/>
        </w:rPr>
        <w:t xml:space="preserve"> </w:t>
      </w:r>
      <w:r w:rsidRPr="00255826">
        <w:rPr>
          <w:rFonts w:ascii="Arial" w:hAnsi="Arial" w:cs="Arial"/>
          <w:color w:val="000000"/>
          <w:lang w:val="en-US"/>
        </w:rPr>
        <w:t>Garfin</w:t>
      </w:r>
      <w:r w:rsidRPr="00A60AE1">
        <w:rPr>
          <w:rFonts w:ascii="Arial" w:hAnsi="Arial" w:cs="Arial"/>
          <w:color w:val="000000"/>
          <w:lang w:val="uk-UA"/>
        </w:rPr>
        <w:t xml:space="preserve">, </w:t>
      </w:r>
      <w:r w:rsidRPr="00255826">
        <w:rPr>
          <w:rFonts w:ascii="Arial" w:hAnsi="Arial" w:cs="Arial"/>
          <w:color w:val="000000"/>
          <w:lang w:val="en-US"/>
        </w:rPr>
        <w:t>Giovanni</w:t>
      </w:r>
      <w:r w:rsidRPr="00A60AE1">
        <w:rPr>
          <w:rFonts w:ascii="Arial" w:hAnsi="Arial" w:cs="Arial"/>
          <w:color w:val="000000"/>
          <w:lang w:val="uk-UA"/>
        </w:rPr>
        <w:t xml:space="preserve"> </w:t>
      </w:r>
      <w:r w:rsidRPr="00255826">
        <w:rPr>
          <w:rFonts w:ascii="Arial" w:hAnsi="Arial" w:cs="Arial"/>
          <w:color w:val="000000"/>
          <w:lang w:val="en-US"/>
        </w:rPr>
        <w:t>Battista</w:t>
      </w:r>
      <w:r w:rsidRPr="00A60AE1">
        <w:rPr>
          <w:rFonts w:ascii="Arial" w:hAnsi="Arial" w:cs="Arial"/>
          <w:color w:val="000000"/>
          <w:lang w:val="uk-UA"/>
        </w:rPr>
        <w:t xml:space="preserve"> </w:t>
      </w:r>
      <w:r w:rsidRPr="00255826">
        <w:rPr>
          <w:rFonts w:ascii="Arial" w:hAnsi="Arial" w:cs="Arial"/>
          <w:color w:val="000000"/>
          <w:lang w:val="en-US"/>
        </w:rPr>
        <w:t>Migliori</w:t>
      </w:r>
      <w:r w:rsidRPr="00A60AE1">
        <w:rPr>
          <w:rFonts w:ascii="Arial" w:hAnsi="Arial" w:cs="Arial"/>
          <w:color w:val="000000"/>
          <w:lang w:val="uk-UA"/>
        </w:rPr>
        <w:t xml:space="preserve">, </w:t>
      </w:r>
      <w:r w:rsidRPr="00255826">
        <w:rPr>
          <w:rFonts w:ascii="Arial" w:hAnsi="Arial" w:cs="Arial"/>
          <w:color w:val="000000"/>
          <w:lang w:val="en-US"/>
        </w:rPr>
        <w:t>Ashok</w:t>
      </w:r>
      <w:r w:rsidRPr="00A60AE1">
        <w:rPr>
          <w:rFonts w:ascii="Arial" w:hAnsi="Arial" w:cs="Arial"/>
          <w:color w:val="000000"/>
          <w:lang w:val="uk-UA"/>
        </w:rPr>
        <w:t xml:space="preserve"> </w:t>
      </w:r>
      <w:r w:rsidRPr="00255826">
        <w:rPr>
          <w:rFonts w:ascii="Arial" w:hAnsi="Arial" w:cs="Arial"/>
          <w:color w:val="000000"/>
          <w:lang w:val="en-US"/>
        </w:rPr>
        <w:t>Kumar</w:t>
      </w:r>
      <w:r w:rsidRPr="00A60AE1">
        <w:rPr>
          <w:rFonts w:ascii="Arial" w:hAnsi="Arial" w:cs="Arial"/>
          <w:color w:val="000000"/>
          <w:lang w:val="uk-UA"/>
        </w:rPr>
        <w:t xml:space="preserve">, </w:t>
      </w:r>
      <w:r w:rsidRPr="00255826">
        <w:rPr>
          <w:rFonts w:ascii="Arial" w:hAnsi="Arial" w:cs="Arial"/>
          <w:color w:val="000000"/>
          <w:lang w:val="en-US"/>
        </w:rPr>
        <w:t>Helen</w:t>
      </w:r>
      <w:r w:rsidRPr="00A60AE1">
        <w:rPr>
          <w:rFonts w:ascii="Arial" w:hAnsi="Arial" w:cs="Arial"/>
          <w:color w:val="000000"/>
          <w:lang w:val="uk-UA"/>
        </w:rPr>
        <w:t xml:space="preserve"> </w:t>
      </w:r>
      <w:r w:rsidRPr="00255826">
        <w:rPr>
          <w:rFonts w:ascii="Arial" w:hAnsi="Arial" w:cs="Arial"/>
          <w:color w:val="000000"/>
          <w:lang w:val="en-US"/>
        </w:rPr>
        <w:t>McIlleron</w:t>
      </w:r>
      <w:r w:rsidRPr="00A60AE1">
        <w:rPr>
          <w:rFonts w:ascii="Arial" w:hAnsi="Arial" w:cs="Arial"/>
          <w:color w:val="000000"/>
          <w:lang w:val="uk-UA"/>
        </w:rPr>
        <w:t xml:space="preserve">, </w:t>
      </w:r>
      <w:r w:rsidRPr="00255826">
        <w:rPr>
          <w:rFonts w:ascii="Arial" w:hAnsi="Arial" w:cs="Arial"/>
          <w:color w:val="000000"/>
          <w:lang w:val="en-US"/>
        </w:rPr>
        <w:t>Richard</w:t>
      </w:r>
      <w:r w:rsidRPr="00A60AE1">
        <w:rPr>
          <w:rFonts w:ascii="Arial" w:hAnsi="Arial" w:cs="Arial"/>
          <w:color w:val="000000"/>
          <w:lang w:val="uk-UA"/>
        </w:rPr>
        <w:t xml:space="preserve"> </w:t>
      </w:r>
      <w:r w:rsidRPr="00255826">
        <w:rPr>
          <w:rFonts w:ascii="Arial" w:hAnsi="Arial" w:cs="Arial"/>
          <w:color w:val="000000"/>
          <w:lang w:val="en-US"/>
        </w:rPr>
        <w:t>Menzies</w:t>
      </w:r>
      <w:r w:rsidRPr="00A60AE1">
        <w:rPr>
          <w:rFonts w:ascii="Arial" w:hAnsi="Arial" w:cs="Arial"/>
          <w:color w:val="000000"/>
          <w:lang w:val="uk-UA"/>
        </w:rPr>
        <w:t xml:space="preserve">, </w:t>
      </w:r>
      <w:r w:rsidRPr="00255826">
        <w:rPr>
          <w:rFonts w:ascii="Arial" w:hAnsi="Arial" w:cs="Arial"/>
          <w:color w:val="000000"/>
          <w:lang w:val="en-US"/>
        </w:rPr>
        <w:t>Rohit</w:t>
      </w:r>
      <w:r w:rsidRPr="00A60AE1">
        <w:rPr>
          <w:rFonts w:ascii="Arial" w:hAnsi="Arial" w:cs="Arial"/>
          <w:color w:val="000000"/>
          <w:lang w:val="uk-UA"/>
        </w:rPr>
        <w:t xml:space="preserve"> </w:t>
      </w:r>
      <w:r w:rsidRPr="00255826">
        <w:rPr>
          <w:rFonts w:ascii="Arial" w:hAnsi="Arial" w:cs="Arial"/>
          <w:color w:val="000000"/>
          <w:lang w:val="en-US"/>
        </w:rPr>
        <w:t>Sarin</w:t>
      </w:r>
      <w:r w:rsidRPr="00A60AE1">
        <w:rPr>
          <w:rFonts w:ascii="Arial" w:hAnsi="Arial" w:cs="Arial"/>
          <w:color w:val="000000"/>
          <w:lang w:val="uk-UA"/>
        </w:rPr>
        <w:t xml:space="preserve">, </w:t>
      </w:r>
      <w:r w:rsidRPr="00255826">
        <w:rPr>
          <w:rFonts w:ascii="Arial" w:hAnsi="Arial" w:cs="Arial"/>
          <w:color w:val="000000"/>
          <w:lang w:val="en-US"/>
        </w:rPr>
        <w:t>Alena</w:t>
      </w:r>
      <w:r w:rsidRPr="00A60AE1">
        <w:rPr>
          <w:rFonts w:ascii="Arial" w:hAnsi="Arial" w:cs="Arial"/>
          <w:color w:val="000000"/>
          <w:lang w:val="uk-UA"/>
        </w:rPr>
        <w:t xml:space="preserve"> </w:t>
      </w:r>
      <w:r w:rsidRPr="00255826">
        <w:rPr>
          <w:rFonts w:ascii="Arial" w:hAnsi="Arial" w:cs="Arial"/>
          <w:color w:val="000000"/>
          <w:lang w:val="en-US"/>
        </w:rPr>
        <w:t>Skrahina</w:t>
      </w:r>
      <w:r w:rsidRPr="00A60AE1">
        <w:rPr>
          <w:rFonts w:ascii="Arial" w:hAnsi="Arial" w:cs="Arial"/>
          <w:color w:val="000000"/>
          <w:lang w:val="uk-UA"/>
        </w:rPr>
        <w:t xml:space="preserve">, </w:t>
      </w:r>
      <w:r w:rsidRPr="00255826">
        <w:rPr>
          <w:rFonts w:ascii="Arial" w:hAnsi="Arial" w:cs="Arial"/>
          <w:color w:val="000000"/>
          <w:lang w:val="en-US"/>
        </w:rPr>
        <w:t>Maarten</w:t>
      </w:r>
      <w:r w:rsidRPr="00A60AE1">
        <w:rPr>
          <w:rFonts w:ascii="Arial" w:hAnsi="Arial" w:cs="Arial"/>
          <w:color w:val="000000"/>
          <w:lang w:val="uk-UA"/>
        </w:rPr>
        <w:t xml:space="preserve"> </w:t>
      </w:r>
      <w:r w:rsidRPr="00255826">
        <w:rPr>
          <w:rFonts w:ascii="Arial" w:hAnsi="Arial" w:cs="Arial"/>
          <w:color w:val="000000"/>
          <w:lang w:val="en-US"/>
        </w:rPr>
        <w:t>van</w:t>
      </w:r>
      <w:r w:rsidRPr="00A60AE1">
        <w:rPr>
          <w:rFonts w:ascii="Arial" w:hAnsi="Arial" w:cs="Arial"/>
          <w:color w:val="000000"/>
          <w:lang w:val="uk-UA"/>
        </w:rPr>
        <w:t xml:space="preserve"> </w:t>
      </w:r>
      <w:r w:rsidRPr="00255826">
        <w:rPr>
          <w:rFonts w:ascii="Arial" w:hAnsi="Arial" w:cs="Arial"/>
          <w:color w:val="000000"/>
          <w:lang w:val="en-US"/>
        </w:rPr>
        <w:t>Cleeff</w:t>
      </w:r>
      <w:r w:rsidRPr="00A60AE1">
        <w:rPr>
          <w:rFonts w:ascii="Arial" w:hAnsi="Arial" w:cs="Arial"/>
          <w:color w:val="000000"/>
          <w:lang w:val="uk-UA"/>
        </w:rPr>
        <w:t xml:space="preserve">). Крім того, ВООЗ визнає </w:t>
      </w:r>
      <w:r w:rsidRPr="00255826">
        <w:rPr>
          <w:rFonts w:ascii="Arial" w:hAnsi="Arial" w:cs="Arial"/>
          <w:color w:val="000000"/>
          <w:lang w:val="uk-UA"/>
        </w:rPr>
        <w:t>особливий</w:t>
      </w:r>
      <w:r w:rsidRPr="00A60AE1">
        <w:rPr>
          <w:rFonts w:ascii="Arial" w:hAnsi="Arial" w:cs="Arial"/>
          <w:color w:val="000000"/>
          <w:lang w:val="uk-UA"/>
        </w:rPr>
        <w:t xml:space="preserve"> внесок експертів з ВІЛ </w:t>
      </w:r>
      <w:r w:rsidR="00013403">
        <w:rPr>
          <w:rFonts w:ascii="Arial" w:hAnsi="Arial" w:cs="Arial"/>
          <w:color w:val="000000"/>
          <w:lang w:val="uk-UA"/>
        </w:rPr>
        <w:t>Келі Дулі (</w:t>
      </w:r>
      <w:r w:rsidRPr="00255826">
        <w:rPr>
          <w:rFonts w:ascii="Arial" w:hAnsi="Arial" w:cs="Arial"/>
          <w:color w:val="000000"/>
          <w:lang w:val="en-US"/>
        </w:rPr>
        <w:t>Kelly</w:t>
      </w:r>
      <w:r w:rsidRPr="00A60AE1">
        <w:rPr>
          <w:rFonts w:ascii="Arial" w:hAnsi="Arial" w:cs="Arial"/>
          <w:color w:val="000000"/>
          <w:lang w:val="uk-UA"/>
        </w:rPr>
        <w:t xml:space="preserve"> </w:t>
      </w:r>
      <w:r w:rsidRPr="00255826">
        <w:rPr>
          <w:rFonts w:ascii="Arial" w:hAnsi="Arial" w:cs="Arial"/>
          <w:color w:val="000000"/>
          <w:lang w:val="en-US"/>
        </w:rPr>
        <w:t>Dooley</w:t>
      </w:r>
      <w:r w:rsidR="00013403">
        <w:rPr>
          <w:rFonts w:ascii="Arial" w:hAnsi="Arial" w:cs="Arial"/>
          <w:color w:val="000000"/>
          <w:lang w:val="en-US"/>
        </w:rPr>
        <w:t>)</w:t>
      </w:r>
      <w:r w:rsidRPr="00A60AE1">
        <w:rPr>
          <w:rFonts w:ascii="Arial" w:hAnsi="Arial" w:cs="Arial"/>
          <w:color w:val="000000"/>
          <w:lang w:val="uk-UA"/>
        </w:rPr>
        <w:t xml:space="preserve">, </w:t>
      </w:r>
      <w:r w:rsidR="00013403">
        <w:rPr>
          <w:rFonts w:ascii="Arial" w:hAnsi="Arial" w:cs="Arial"/>
          <w:color w:val="000000"/>
          <w:lang w:val="uk-UA"/>
        </w:rPr>
        <w:t>Даян Хавлір (</w:t>
      </w:r>
      <w:r w:rsidRPr="00255826">
        <w:rPr>
          <w:rFonts w:ascii="Arial" w:hAnsi="Arial" w:cs="Arial"/>
          <w:color w:val="000000"/>
          <w:lang w:val="en-US"/>
        </w:rPr>
        <w:t>Diane</w:t>
      </w:r>
      <w:r w:rsidRPr="00A60AE1">
        <w:rPr>
          <w:rFonts w:ascii="Arial" w:hAnsi="Arial" w:cs="Arial"/>
          <w:color w:val="000000"/>
          <w:lang w:val="uk-UA"/>
        </w:rPr>
        <w:t xml:space="preserve"> </w:t>
      </w:r>
      <w:r w:rsidRPr="00255826">
        <w:rPr>
          <w:rFonts w:ascii="Arial" w:hAnsi="Arial" w:cs="Arial"/>
          <w:color w:val="000000"/>
          <w:lang w:val="en-US"/>
        </w:rPr>
        <w:t>Havlir</w:t>
      </w:r>
      <w:r w:rsidR="00013403">
        <w:rPr>
          <w:rFonts w:ascii="Arial" w:hAnsi="Arial" w:cs="Arial"/>
          <w:color w:val="000000"/>
          <w:lang w:val="en-US"/>
        </w:rPr>
        <w:t>)</w:t>
      </w:r>
      <w:r w:rsidRPr="00A60AE1">
        <w:rPr>
          <w:rFonts w:ascii="Arial" w:hAnsi="Arial" w:cs="Arial"/>
          <w:color w:val="000000"/>
          <w:lang w:val="uk-UA"/>
        </w:rPr>
        <w:t xml:space="preserve"> та </w:t>
      </w:r>
      <w:r w:rsidR="00013403">
        <w:rPr>
          <w:rFonts w:ascii="Arial" w:hAnsi="Arial" w:cs="Arial"/>
          <w:color w:val="000000"/>
          <w:lang w:val="uk-UA"/>
        </w:rPr>
        <w:t>Гері Мартенса (</w:t>
      </w:r>
      <w:r w:rsidRPr="00255826">
        <w:rPr>
          <w:rFonts w:ascii="Arial" w:hAnsi="Arial" w:cs="Arial"/>
          <w:color w:val="000000"/>
          <w:lang w:val="en-US"/>
        </w:rPr>
        <w:t>Gary</w:t>
      </w:r>
      <w:r w:rsidRPr="00A60AE1">
        <w:rPr>
          <w:rFonts w:ascii="Arial" w:hAnsi="Arial" w:cs="Arial"/>
          <w:color w:val="000000"/>
          <w:lang w:val="uk-UA"/>
        </w:rPr>
        <w:t xml:space="preserve"> </w:t>
      </w:r>
      <w:r w:rsidRPr="00255826">
        <w:rPr>
          <w:rFonts w:ascii="Arial" w:hAnsi="Arial" w:cs="Arial"/>
          <w:color w:val="000000"/>
          <w:lang w:val="en-US"/>
        </w:rPr>
        <w:t>Maartens</w:t>
      </w:r>
      <w:r w:rsidR="00013403">
        <w:rPr>
          <w:rFonts w:ascii="Arial" w:hAnsi="Arial" w:cs="Arial"/>
          <w:color w:val="000000"/>
          <w:lang w:val="en-US"/>
        </w:rPr>
        <w:t>)</w:t>
      </w:r>
      <w:r w:rsidRPr="00A60AE1">
        <w:rPr>
          <w:rFonts w:ascii="Arial" w:hAnsi="Arial" w:cs="Arial"/>
          <w:color w:val="000000"/>
          <w:lang w:val="uk-UA"/>
        </w:rPr>
        <w:t xml:space="preserve"> щодо </w:t>
      </w:r>
      <w:r w:rsidR="0014789E">
        <w:rPr>
          <w:rFonts w:ascii="Arial" w:hAnsi="Arial" w:cs="Arial"/>
          <w:color w:val="000000"/>
          <w:lang w:val="uk-UA"/>
        </w:rPr>
        <w:t xml:space="preserve">питання </w:t>
      </w:r>
      <w:r w:rsidRPr="00A60AE1">
        <w:rPr>
          <w:rFonts w:ascii="Arial" w:hAnsi="Arial" w:cs="Arial"/>
          <w:color w:val="000000"/>
          <w:lang w:val="uk-UA"/>
        </w:rPr>
        <w:t xml:space="preserve">одночасного </w:t>
      </w:r>
      <w:r w:rsidR="007D3500">
        <w:rPr>
          <w:rFonts w:ascii="Arial" w:hAnsi="Arial" w:cs="Arial"/>
          <w:color w:val="000000"/>
          <w:lang w:val="uk-UA"/>
        </w:rPr>
        <w:t>застосування</w:t>
      </w:r>
      <w:r w:rsidRPr="00A60AE1">
        <w:rPr>
          <w:rFonts w:ascii="Arial" w:hAnsi="Arial" w:cs="Arial"/>
          <w:color w:val="000000"/>
          <w:lang w:val="uk-UA"/>
        </w:rPr>
        <w:t xml:space="preserve"> бедаквіліну та антиретровірусних препаратів.</w:t>
      </w:r>
    </w:p>
    <w:p w14:paraId="076472DF" w14:textId="77777777" w:rsidR="00E568A1" w:rsidRPr="00A60AE1" w:rsidRDefault="00E568A1" w:rsidP="00616A62">
      <w:pPr>
        <w:autoSpaceDE w:val="0"/>
        <w:autoSpaceDN w:val="0"/>
        <w:adjustRightInd w:val="0"/>
        <w:spacing w:after="0" w:line="240" w:lineRule="auto"/>
        <w:jc w:val="both"/>
        <w:rPr>
          <w:rFonts w:ascii="Arial" w:hAnsi="Arial" w:cs="Arial"/>
          <w:color w:val="000000"/>
          <w:lang w:val="uk-UA"/>
        </w:rPr>
      </w:pPr>
    </w:p>
    <w:p w14:paraId="339778C1" w14:textId="77777777" w:rsidR="00E568A1" w:rsidRPr="00A60AE1" w:rsidRDefault="00E568A1" w:rsidP="00616A62">
      <w:pPr>
        <w:autoSpaceDE w:val="0"/>
        <w:autoSpaceDN w:val="0"/>
        <w:adjustRightInd w:val="0"/>
        <w:spacing w:after="0" w:line="240" w:lineRule="auto"/>
        <w:jc w:val="both"/>
        <w:rPr>
          <w:rFonts w:ascii="Arial" w:hAnsi="Arial" w:cs="Arial"/>
          <w:color w:val="000000"/>
          <w:lang w:val="uk-UA"/>
        </w:rPr>
      </w:pPr>
      <w:r w:rsidRPr="00A60AE1">
        <w:rPr>
          <w:rFonts w:ascii="Arial" w:hAnsi="Arial" w:cs="Arial"/>
          <w:color w:val="000000"/>
          <w:lang w:val="uk-UA"/>
        </w:rPr>
        <w:t xml:space="preserve">Цей документ був остаточно доопрацьований після розгляду всіх зауважень і пропозицій, що надійшли від учасників </w:t>
      </w:r>
      <w:r w:rsidRPr="00255826">
        <w:rPr>
          <w:rFonts w:ascii="Arial" w:hAnsi="Arial" w:cs="Arial"/>
          <w:color w:val="000000"/>
          <w:lang w:val="uk-UA"/>
        </w:rPr>
        <w:t xml:space="preserve">Експертної </w:t>
      </w:r>
      <w:r w:rsidRPr="00A60AE1">
        <w:rPr>
          <w:rFonts w:ascii="Arial" w:hAnsi="Arial" w:cs="Arial"/>
          <w:color w:val="000000"/>
          <w:lang w:val="uk-UA"/>
        </w:rPr>
        <w:t>Групи</w:t>
      </w:r>
      <w:r w:rsidRPr="00255826">
        <w:rPr>
          <w:rFonts w:ascii="Arial" w:hAnsi="Arial" w:cs="Arial"/>
          <w:color w:val="000000"/>
          <w:lang w:val="uk-UA"/>
        </w:rPr>
        <w:t xml:space="preserve"> та</w:t>
      </w:r>
      <w:r w:rsidRPr="00A60AE1">
        <w:rPr>
          <w:rFonts w:ascii="Arial" w:hAnsi="Arial" w:cs="Arial"/>
          <w:color w:val="000000"/>
          <w:lang w:val="uk-UA"/>
        </w:rPr>
        <w:t xml:space="preserve"> </w:t>
      </w:r>
      <w:r>
        <w:rPr>
          <w:rFonts w:ascii="Arial" w:hAnsi="Arial" w:cs="Arial"/>
          <w:color w:val="000000"/>
          <w:lang w:val="uk-UA"/>
        </w:rPr>
        <w:t>Групи зовнішніх експертів</w:t>
      </w:r>
      <w:r w:rsidRPr="00A60AE1">
        <w:rPr>
          <w:rFonts w:ascii="Arial" w:hAnsi="Arial" w:cs="Arial"/>
          <w:color w:val="000000"/>
          <w:lang w:val="uk-UA"/>
        </w:rPr>
        <w:t xml:space="preserve">. Технічне редагування </w:t>
      </w:r>
      <w:r>
        <w:rPr>
          <w:rFonts w:ascii="Arial" w:hAnsi="Arial" w:cs="Arial"/>
          <w:color w:val="000000"/>
          <w:lang w:val="uk-UA"/>
        </w:rPr>
        <w:t>здійснили компанії</w:t>
      </w:r>
      <w:r w:rsidRPr="00A60AE1">
        <w:rPr>
          <w:rFonts w:ascii="Arial" w:hAnsi="Arial" w:cs="Arial"/>
          <w:color w:val="000000"/>
          <w:lang w:val="uk-UA"/>
        </w:rPr>
        <w:t xml:space="preserve"> </w:t>
      </w:r>
      <w:r w:rsidRPr="00255826">
        <w:rPr>
          <w:rFonts w:ascii="Arial" w:hAnsi="Arial" w:cs="Arial"/>
          <w:color w:val="000000"/>
          <w:lang w:val="en-US"/>
        </w:rPr>
        <w:t>Tim</w:t>
      </w:r>
      <w:r w:rsidRPr="00A60AE1">
        <w:rPr>
          <w:rFonts w:ascii="Arial" w:hAnsi="Arial" w:cs="Arial"/>
          <w:color w:val="000000"/>
          <w:lang w:val="uk-UA"/>
        </w:rPr>
        <w:t xml:space="preserve"> </w:t>
      </w:r>
      <w:r w:rsidRPr="00255826">
        <w:rPr>
          <w:rFonts w:ascii="Arial" w:hAnsi="Arial" w:cs="Arial"/>
          <w:color w:val="000000"/>
          <w:lang w:val="en-US"/>
        </w:rPr>
        <w:t>France</w:t>
      </w:r>
      <w:r w:rsidRPr="00A60AE1">
        <w:rPr>
          <w:rFonts w:ascii="Arial" w:hAnsi="Arial" w:cs="Arial"/>
          <w:color w:val="000000"/>
          <w:lang w:val="uk-UA"/>
        </w:rPr>
        <w:t xml:space="preserve">, </w:t>
      </w:r>
      <w:r w:rsidRPr="00255826">
        <w:rPr>
          <w:rFonts w:ascii="Arial" w:hAnsi="Arial" w:cs="Arial"/>
          <w:color w:val="000000"/>
          <w:lang w:val="en-US"/>
        </w:rPr>
        <w:t>Inis</w:t>
      </w:r>
      <w:r w:rsidRPr="00A60AE1">
        <w:rPr>
          <w:rFonts w:ascii="Arial" w:hAnsi="Arial" w:cs="Arial"/>
          <w:color w:val="000000"/>
          <w:lang w:val="uk-UA"/>
        </w:rPr>
        <w:t xml:space="preserve"> </w:t>
      </w:r>
      <w:r w:rsidRPr="00255826">
        <w:rPr>
          <w:rFonts w:ascii="Arial" w:hAnsi="Arial" w:cs="Arial"/>
          <w:color w:val="000000"/>
          <w:lang w:val="en-US"/>
        </w:rPr>
        <w:t>Communication</w:t>
      </w:r>
      <w:r w:rsidRPr="00A60AE1">
        <w:rPr>
          <w:rFonts w:ascii="Arial" w:hAnsi="Arial" w:cs="Arial"/>
          <w:color w:val="000000"/>
          <w:lang w:val="uk-UA"/>
        </w:rPr>
        <w:t>.</w:t>
      </w:r>
    </w:p>
    <w:p w14:paraId="5500503D" w14:textId="77777777" w:rsidR="00E568A1" w:rsidRPr="00A60AE1" w:rsidRDefault="00E568A1" w:rsidP="0037724F">
      <w:pPr>
        <w:autoSpaceDE w:val="0"/>
        <w:autoSpaceDN w:val="0"/>
        <w:adjustRightInd w:val="0"/>
        <w:spacing w:after="0" w:line="240" w:lineRule="auto"/>
        <w:jc w:val="both"/>
        <w:rPr>
          <w:rFonts w:ascii="Arial" w:hAnsi="Arial" w:cs="Arial"/>
          <w:color w:val="000000"/>
          <w:lang w:val="uk-UA"/>
        </w:rPr>
      </w:pPr>
    </w:p>
    <w:p w14:paraId="081322FC" w14:textId="35940D3A" w:rsidR="00E568A1" w:rsidRPr="00255826" w:rsidRDefault="00E568A1" w:rsidP="0037724F">
      <w:pPr>
        <w:autoSpaceDE w:val="0"/>
        <w:autoSpaceDN w:val="0"/>
        <w:adjustRightInd w:val="0"/>
        <w:spacing w:after="0" w:line="240" w:lineRule="auto"/>
        <w:jc w:val="both"/>
        <w:rPr>
          <w:rFonts w:ascii="Arial" w:hAnsi="Arial" w:cs="Arial"/>
          <w:color w:val="000000"/>
        </w:rPr>
      </w:pPr>
      <w:r>
        <w:rPr>
          <w:rFonts w:ascii="Arial" w:hAnsi="Arial" w:cs="Arial"/>
          <w:color w:val="000000"/>
          <w:lang w:val="uk-UA"/>
        </w:rPr>
        <w:t>Подяка</w:t>
      </w:r>
      <w:r w:rsidRPr="00255826">
        <w:rPr>
          <w:rFonts w:ascii="Arial" w:hAnsi="Arial" w:cs="Arial"/>
          <w:color w:val="000000"/>
          <w:lang w:val="uk-UA"/>
        </w:rPr>
        <w:t xml:space="preserve"> </w:t>
      </w:r>
      <w:r w:rsidRPr="00A60AE1">
        <w:rPr>
          <w:rFonts w:ascii="Arial" w:hAnsi="Arial" w:cs="Arial"/>
          <w:color w:val="000000"/>
          <w:lang w:val="uk-UA"/>
        </w:rPr>
        <w:t>Агентству США з міжнародного розвитку (</w:t>
      </w:r>
      <w:r w:rsidRPr="00255826">
        <w:rPr>
          <w:rFonts w:ascii="Arial" w:hAnsi="Arial" w:cs="Arial"/>
          <w:color w:val="000000"/>
          <w:lang w:val="en-US"/>
        </w:rPr>
        <w:t>USAID</w:t>
      </w:r>
      <w:r w:rsidRPr="00A60AE1">
        <w:rPr>
          <w:rFonts w:ascii="Arial" w:hAnsi="Arial" w:cs="Arial"/>
          <w:color w:val="000000"/>
          <w:lang w:val="uk-UA"/>
        </w:rPr>
        <w:t xml:space="preserve">) за </w:t>
      </w:r>
      <w:r w:rsidRPr="00255826">
        <w:rPr>
          <w:rFonts w:ascii="Arial" w:hAnsi="Arial" w:cs="Arial"/>
          <w:color w:val="000000"/>
          <w:lang w:val="uk-UA"/>
        </w:rPr>
        <w:t xml:space="preserve">його </w:t>
      </w:r>
      <w:r w:rsidRPr="00A60AE1">
        <w:rPr>
          <w:rFonts w:ascii="Arial" w:hAnsi="Arial" w:cs="Arial"/>
          <w:color w:val="000000"/>
          <w:lang w:val="uk-UA"/>
        </w:rPr>
        <w:t>підтримку</w:t>
      </w:r>
      <w:r>
        <w:rPr>
          <w:rFonts w:ascii="Arial" w:hAnsi="Arial" w:cs="Arial"/>
          <w:color w:val="000000"/>
          <w:lang w:val="uk-UA"/>
        </w:rPr>
        <w:t xml:space="preserve"> розробки</w:t>
      </w:r>
      <w:r w:rsidRPr="00A60AE1">
        <w:rPr>
          <w:rFonts w:ascii="Arial" w:hAnsi="Arial" w:cs="Arial"/>
          <w:color w:val="000000"/>
          <w:lang w:val="uk-UA"/>
        </w:rPr>
        <w:t xml:space="preserve"> цих рекомендацій через </w:t>
      </w:r>
      <w:r w:rsidRPr="00255826">
        <w:rPr>
          <w:rFonts w:ascii="Arial" w:hAnsi="Arial" w:cs="Arial"/>
          <w:color w:val="000000"/>
          <w:lang w:val="uk-UA"/>
        </w:rPr>
        <w:t xml:space="preserve">Консолідований Грант </w:t>
      </w:r>
      <w:r w:rsidRPr="00255826">
        <w:rPr>
          <w:rFonts w:ascii="Arial" w:hAnsi="Arial" w:cs="Arial"/>
          <w:color w:val="000000"/>
          <w:lang w:val="en-US"/>
        </w:rPr>
        <w:t>USAID</w:t>
      </w:r>
      <w:r w:rsidRPr="00A60AE1">
        <w:rPr>
          <w:rFonts w:ascii="Arial" w:hAnsi="Arial" w:cs="Arial"/>
          <w:color w:val="000000"/>
          <w:lang w:val="uk-UA"/>
        </w:rPr>
        <w:t xml:space="preserve">-ВООЗ (номер проекту: </w:t>
      </w:r>
      <w:r w:rsidRPr="00255826">
        <w:rPr>
          <w:rFonts w:ascii="Arial" w:hAnsi="Arial" w:cs="Arial"/>
          <w:color w:val="000000"/>
          <w:lang w:val="en-US"/>
        </w:rPr>
        <w:t>US</w:t>
      </w:r>
      <w:r w:rsidRPr="00A60AE1">
        <w:rPr>
          <w:rFonts w:ascii="Arial" w:hAnsi="Arial" w:cs="Arial"/>
          <w:color w:val="000000"/>
          <w:lang w:val="uk-UA"/>
        </w:rPr>
        <w:t xml:space="preserve"> 2012 0392). </w:t>
      </w:r>
      <w:r w:rsidRPr="00255826">
        <w:rPr>
          <w:rFonts w:ascii="Arial" w:hAnsi="Arial" w:cs="Arial"/>
          <w:color w:val="000000"/>
          <w:lang w:val="uk-UA"/>
        </w:rPr>
        <w:t xml:space="preserve">Висловлюється також вдячність </w:t>
      </w:r>
      <w:r w:rsidRPr="00255826">
        <w:rPr>
          <w:rFonts w:ascii="Arial" w:hAnsi="Arial" w:cs="Arial"/>
          <w:color w:val="000000"/>
        </w:rPr>
        <w:t xml:space="preserve">Американським центрам з контролю та профілактики захворювань за </w:t>
      </w:r>
      <w:r w:rsidRPr="00255826">
        <w:rPr>
          <w:rFonts w:ascii="Arial" w:hAnsi="Arial" w:cs="Arial"/>
          <w:color w:val="000000"/>
          <w:lang w:val="uk-UA"/>
        </w:rPr>
        <w:t>їх внесок в</w:t>
      </w:r>
      <w:r w:rsidRPr="00255826">
        <w:rPr>
          <w:rFonts w:ascii="Arial" w:hAnsi="Arial" w:cs="Arial"/>
          <w:color w:val="000000"/>
        </w:rPr>
        <w:t xml:space="preserve"> роботу щодо </w:t>
      </w:r>
      <w:r w:rsidR="007D3500">
        <w:rPr>
          <w:rFonts w:ascii="Arial" w:hAnsi="Arial" w:cs="Arial"/>
          <w:color w:val="000000"/>
          <w:lang w:val="uk-UA"/>
        </w:rPr>
        <w:t>застосування</w:t>
      </w:r>
      <w:r w:rsidRPr="00255826">
        <w:rPr>
          <w:rFonts w:ascii="Arial" w:hAnsi="Arial" w:cs="Arial"/>
          <w:color w:val="000000"/>
          <w:lang w:val="uk-UA"/>
        </w:rPr>
        <w:t xml:space="preserve"> конверсії культури мокротиння</w:t>
      </w:r>
      <w:r w:rsidRPr="00255826">
        <w:rPr>
          <w:rFonts w:ascii="Arial" w:hAnsi="Arial" w:cs="Arial"/>
          <w:color w:val="000000"/>
        </w:rPr>
        <w:t xml:space="preserve"> як сурогатног</w:t>
      </w:r>
      <w:r w:rsidR="0014789E">
        <w:rPr>
          <w:rFonts w:ascii="Arial" w:hAnsi="Arial" w:cs="Arial"/>
          <w:color w:val="000000"/>
        </w:rPr>
        <w:t>о маркера результатів лікування МР-ТБ</w:t>
      </w:r>
      <w:r w:rsidRPr="00255826">
        <w:rPr>
          <w:rFonts w:ascii="Arial" w:hAnsi="Arial" w:cs="Arial"/>
          <w:color w:val="000000"/>
        </w:rPr>
        <w:t xml:space="preserve"> (</w:t>
      </w:r>
      <w:r w:rsidRPr="00255826">
        <w:rPr>
          <w:rFonts w:ascii="Arial" w:hAnsi="Arial" w:cs="Arial"/>
          <w:color w:val="000000"/>
          <w:lang w:val="uk-UA"/>
        </w:rPr>
        <w:t xml:space="preserve">робота була проведена </w:t>
      </w:r>
      <w:r w:rsidRPr="00255826">
        <w:rPr>
          <w:rFonts w:ascii="Arial" w:hAnsi="Arial" w:cs="Arial"/>
          <w:color w:val="000000"/>
        </w:rPr>
        <w:t>Катериною Курбатовою та її колегами).</w:t>
      </w:r>
    </w:p>
    <w:p w14:paraId="6131C375" w14:textId="77777777" w:rsidR="00E568A1" w:rsidRPr="00255826" w:rsidRDefault="00E568A1" w:rsidP="0037724F">
      <w:pPr>
        <w:autoSpaceDE w:val="0"/>
        <w:autoSpaceDN w:val="0"/>
        <w:adjustRightInd w:val="0"/>
        <w:spacing w:after="0" w:line="240" w:lineRule="auto"/>
        <w:jc w:val="both"/>
        <w:rPr>
          <w:rFonts w:ascii="Arial" w:hAnsi="Arial" w:cs="Arial"/>
          <w:color w:val="000000"/>
          <w:sz w:val="24"/>
          <w:szCs w:val="24"/>
        </w:rPr>
      </w:pPr>
    </w:p>
    <w:p w14:paraId="06F43A61" w14:textId="28C398B1" w:rsidR="00E568A1" w:rsidRPr="0014789E" w:rsidRDefault="00E568A1" w:rsidP="009B51D9">
      <w:pPr>
        <w:autoSpaceDE w:val="0"/>
        <w:autoSpaceDN w:val="0"/>
        <w:adjustRightInd w:val="0"/>
        <w:spacing w:after="0" w:line="240" w:lineRule="auto"/>
        <w:jc w:val="both"/>
        <w:outlineLvl w:val="0"/>
        <w:rPr>
          <w:rFonts w:ascii="Arial" w:hAnsi="Arial" w:cs="Arial"/>
          <w:b/>
          <w:bCs/>
          <w:color w:val="C00000"/>
          <w:sz w:val="28"/>
          <w:szCs w:val="28"/>
          <w:lang w:val="uk-UA"/>
        </w:rPr>
      </w:pPr>
      <w:r w:rsidRPr="00A32EE6">
        <w:rPr>
          <w:rFonts w:ascii="Arial" w:hAnsi="Arial" w:cs="Arial"/>
          <w:b/>
          <w:bCs/>
          <w:color w:val="6A2041"/>
          <w:sz w:val="28"/>
          <w:szCs w:val="28"/>
          <w:lang w:val="uk-UA"/>
        </w:rPr>
        <w:t>Декларації про зацікавленість</w:t>
      </w:r>
    </w:p>
    <w:p w14:paraId="62704C04" w14:textId="77777777" w:rsidR="00E568A1" w:rsidRPr="00A81BDF" w:rsidRDefault="00E568A1" w:rsidP="0037724F">
      <w:pPr>
        <w:autoSpaceDE w:val="0"/>
        <w:autoSpaceDN w:val="0"/>
        <w:adjustRightInd w:val="0"/>
        <w:spacing w:after="0" w:line="240" w:lineRule="auto"/>
        <w:jc w:val="both"/>
        <w:rPr>
          <w:rFonts w:ascii="Arial" w:hAnsi="Arial" w:cs="Arial"/>
          <w:b/>
          <w:bCs/>
          <w:color w:val="000000"/>
          <w:sz w:val="16"/>
          <w:szCs w:val="16"/>
        </w:rPr>
      </w:pPr>
    </w:p>
    <w:p w14:paraId="092118D0" w14:textId="39CECA0E" w:rsidR="00E568A1" w:rsidRPr="00CD16DC" w:rsidRDefault="00E568A1" w:rsidP="0037724F">
      <w:pPr>
        <w:autoSpaceDE w:val="0"/>
        <w:autoSpaceDN w:val="0"/>
        <w:adjustRightInd w:val="0"/>
        <w:spacing w:after="0" w:line="240" w:lineRule="auto"/>
        <w:jc w:val="both"/>
        <w:rPr>
          <w:rFonts w:ascii="Arial" w:hAnsi="Arial" w:cs="Arial"/>
          <w:color w:val="000000"/>
        </w:rPr>
      </w:pPr>
      <w:r w:rsidRPr="00CD16DC">
        <w:rPr>
          <w:rFonts w:ascii="Arial" w:hAnsi="Arial" w:cs="Arial"/>
          <w:color w:val="000000"/>
        </w:rPr>
        <w:t>Члени</w:t>
      </w:r>
      <w:r w:rsidRPr="00BA0B1A">
        <w:rPr>
          <w:rFonts w:ascii="Arial" w:hAnsi="Arial" w:cs="Arial"/>
          <w:color w:val="000000"/>
        </w:rPr>
        <w:t xml:space="preserve"> </w:t>
      </w:r>
      <w:r w:rsidRPr="00CD16DC">
        <w:rPr>
          <w:rFonts w:ascii="Arial" w:hAnsi="Arial" w:cs="Arial"/>
          <w:color w:val="000000"/>
          <w:lang w:val="uk-UA"/>
        </w:rPr>
        <w:t>Е</w:t>
      </w:r>
      <w:r w:rsidRPr="00CD16DC">
        <w:rPr>
          <w:rFonts w:ascii="Arial" w:hAnsi="Arial" w:cs="Arial"/>
          <w:color w:val="000000"/>
        </w:rPr>
        <w:t>кспертної</w:t>
      </w:r>
      <w:r w:rsidRPr="00BA0B1A">
        <w:rPr>
          <w:rFonts w:ascii="Arial" w:hAnsi="Arial" w:cs="Arial"/>
          <w:color w:val="000000"/>
        </w:rPr>
        <w:t xml:space="preserve"> </w:t>
      </w:r>
      <w:r w:rsidRPr="00CD16DC">
        <w:rPr>
          <w:rFonts w:ascii="Arial" w:hAnsi="Arial" w:cs="Arial"/>
          <w:color w:val="000000"/>
          <w:lang w:val="uk-UA"/>
        </w:rPr>
        <w:t>Г</w:t>
      </w:r>
      <w:r w:rsidRPr="00CD16DC">
        <w:rPr>
          <w:rFonts w:ascii="Arial" w:hAnsi="Arial" w:cs="Arial"/>
          <w:color w:val="000000"/>
        </w:rPr>
        <w:t>рупи</w:t>
      </w:r>
      <w:r w:rsidRPr="00BA0B1A">
        <w:rPr>
          <w:rFonts w:ascii="Arial" w:hAnsi="Arial" w:cs="Arial"/>
          <w:color w:val="000000"/>
        </w:rPr>
        <w:t xml:space="preserve">, </w:t>
      </w:r>
      <w:r w:rsidRPr="00CD16DC">
        <w:rPr>
          <w:rFonts w:ascii="Arial" w:hAnsi="Arial" w:cs="Arial"/>
          <w:color w:val="000000"/>
        </w:rPr>
        <w:t>консультанти</w:t>
      </w:r>
      <w:r w:rsidRPr="00BA0B1A">
        <w:rPr>
          <w:rFonts w:ascii="Arial" w:hAnsi="Arial" w:cs="Arial"/>
          <w:color w:val="000000"/>
        </w:rPr>
        <w:t xml:space="preserve"> </w:t>
      </w:r>
      <w:r w:rsidRPr="00CD16DC">
        <w:rPr>
          <w:rFonts w:ascii="Arial" w:hAnsi="Arial" w:cs="Arial"/>
          <w:color w:val="000000"/>
        </w:rPr>
        <w:t>з</w:t>
      </w:r>
      <w:r w:rsidRPr="00BA0B1A">
        <w:rPr>
          <w:rFonts w:ascii="Arial" w:hAnsi="Arial" w:cs="Arial"/>
          <w:color w:val="000000"/>
        </w:rPr>
        <w:t xml:space="preserve"> </w:t>
      </w:r>
      <w:r w:rsidRPr="00CD16DC">
        <w:rPr>
          <w:rFonts w:ascii="Arial" w:hAnsi="Arial" w:cs="Arial"/>
          <w:color w:val="000000"/>
        </w:rPr>
        <w:t>технічних</w:t>
      </w:r>
      <w:r w:rsidRPr="00BA0B1A">
        <w:rPr>
          <w:rFonts w:ascii="Arial" w:hAnsi="Arial" w:cs="Arial"/>
          <w:color w:val="000000"/>
        </w:rPr>
        <w:t xml:space="preserve"> </w:t>
      </w:r>
      <w:r w:rsidRPr="00CD16DC">
        <w:rPr>
          <w:rFonts w:ascii="Arial" w:hAnsi="Arial" w:cs="Arial"/>
          <w:color w:val="000000"/>
        </w:rPr>
        <w:t>ресурсів</w:t>
      </w:r>
      <w:r w:rsidRPr="00BA0B1A">
        <w:rPr>
          <w:rFonts w:ascii="Arial" w:hAnsi="Arial" w:cs="Arial"/>
          <w:color w:val="000000"/>
        </w:rPr>
        <w:t xml:space="preserve"> </w:t>
      </w:r>
      <w:r w:rsidRPr="00CD16DC">
        <w:rPr>
          <w:rFonts w:ascii="Arial" w:hAnsi="Arial" w:cs="Arial"/>
          <w:color w:val="000000"/>
        </w:rPr>
        <w:t>та</w:t>
      </w:r>
      <w:r w:rsidRPr="00BA0B1A">
        <w:rPr>
          <w:rFonts w:ascii="Arial" w:hAnsi="Arial" w:cs="Arial"/>
          <w:color w:val="000000"/>
        </w:rPr>
        <w:t xml:space="preserve"> </w:t>
      </w:r>
      <w:r w:rsidRPr="00CD16DC">
        <w:rPr>
          <w:rFonts w:ascii="Arial" w:hAnsi="Arial" w:cs="Arial"/>
          <w:color w:val="000000"/>
        </w:rPr>
        <w:t>члени</w:t>
      </w:r>
      <w:r w:rsidRPr="00BA0B1A">
        <w:rPr>
          <w:rFonts w:ascii="Arial" w:hAnsi="Arial" w:cs="Arial"/>
          <w:color w:val="000000"/>
        </w:rPr>
        <w:t xml:space="preserve"> </w:t>
      </w:r>
      <w:r>
        <w:rPr>
          <w:rFonts w:ascii="Arial" w:hAnsi="Arial" w:cs="Arial"/>
          <w:color w:val="000000"/>
          <w:lang w:val="uk-UA"/>
        </w:rPr>
        <w:t>Групи зовнішніх експертів</w:t>
      </w:r>
      <w:r w:rsidRPr="00BA0B1A">
        <w:rPr>
          <w:rFonts w:ascii="Arial" w:hAnsi="Arial" w:cs="Arial"/>
          <w:color w:val="000000"/>
        </w:rPr>
        <w:t xml:space="preserve"> </w:t>
      </w:r>
      <w:r w:rsidRPr="00CD16DC">
        <w:rPr>
          <w:rFonts w:ascii="Arial" w:hAnsi="Arial" w:cs="Arial"/>
          <w:color w:val="000000"/>
        </w:rPr>
        <w:t>завершили</w:t>
      </w:r>
      <w:r w:rsidRPr="00BA0B1A">
        <w:rPr>
          <w:rFonts w:ascii="Arial" w:hAnsi="Arial" w:cs="Arial"/>
          <w:color w:val="000000"/>
        </w:rPr>
        <w:t xml:space="preserve"> </w:t>
      </w:r>
      <w:r>
        <w:rPr>
          <w:rFonts w:ascii="Arial" w:hAnsi="Arial" w:cs="Arial"/>
          <w:color w:val="000000"/>
          <w:lang w:val="uk-UA"/>
        </w:rPr>
        <w:t>розробку</w:t>
      </w:r>
      <w:r w:rsidRPr="00BA0B1A">
        <w:rPr>
          <w:rFonts w:ascii="Arial" w:hAnsi="Arial" w:cs="Arial"/>
          <w:color w:val="000000"/>
        </w:rPr>
        <w:t xml:space="preserve"> </w:t>
      </w:r>
      <w:r w:rsidRPr="00CD16DC">
        <w:rPr>
          <w:rFonts w:ascii="Arial" w:hAnsi="Arial" w:cs="Arial"/>
          <w:color w:val="000000"/>
          <w:lang w:val="uk-UA"/>
        </w:rPr>
        <w:t xml:space="preserve">форм </w:t>
      </w:r>
      <w:r w:rsidRPr="00CD16DC">
        <w:rPr>
          <w:rFonts w:ascii="Arial" w:hAnsi="Arial" w:cs="Arial"/>
          <w:color w:val="000000"/>
        </w:rPr>
        <w:t>Декларації</w:t>
      </w:r>
      <w:r w:rsidRPr="00BA0B1A">
        <w:rPr>
          <w:rFonts w:ascii="Arial" w:hAnsi="Arial" w:cs="Arial"/>
          <w:color w:val="000000"/>
        </w:rPr>
        <w:t xml:space="preserve"> </w:t>
      </w:r>
      <w:r w:rsidRPr="00CD16DC">
        <w:rPr>
          <w:rFonts w:ascii="Arial" w:hAnsi="Arial" w:cs="Arial"/>
          <w:color w:val="000000"/>
        </w:rPr>
        <w:t>про</w:t>
      </w:r>
      <w:r w:rsidRPr="00BA0B1A">
        <w:rPr>
          <w:rFonts w:ascii="Arial" w:hAnsi="Arial" w:cs="Arial"/>
          <w:color w:val="000000"/>
        </w:rPr>
        <w:t xml:space="preserve"> </w:t>
      </w:r>
      <w:r w:rsidRPr="00CD16DC">
        <w:rPr>
          <w:rFonts w:ascii="Arial" w:hAnsi="Arial" w:cs="Arial"/>
          <w:color w:val="000000"/>
          <w:lang w:val="uk-UA"/>
        </w:rPr>
        <w:t>зацікавленість</w:t>
      </w:r>
      <w:r w:rsidRPr="00BA0B1A">
        <w:rPr>
          <w:rFonts w:ascii="Arial" w:hAnsi="Arial" w:cs="Arial"/>
          <w:color w:val="000000"/>
        </w:rPr>
        <w:t xml:space="preserve">. </w:t>
      </w:r>
      <w:r w:rsidRPr="00CD16DC">
        <w:rPr>
          <w:rFonts w:ascii="Arial" w:hAnsi="Arial" w:cs="Arial"/>
          <w:color w:val="000000"/>
        </w:rPr>
        <w:t>Вони були розглянуті Юридичним департаментом ВООЗ д</w:t>
      </w:r>
      <w:r>
        <w:rPr>
          <w:rFonts w:ascii="Arial" w:hAnsi="Arial" w:cs="Arial"/>
          <w:color w:val="000000"/>
        </w:rPr>
        <w:t xml:space="preserve">о </w:t>
      </w:r>
      <w:r w:rsidRPr="00CD16DC">
        <w:rPr>
          <w:rFonts w:ascii="Arial" w:hAnsi="Arial" w:cs="Arial"/>
          <w:color w:val="000000"/>
        </w:rPr>
        <w:t xml:space="preserve">початку засідання </w:t>
      </w:r>
      <w:r w:rsidR="0014789E" w:rsidRPr="00CD16DC">
        <w:rPr>
          <w:rFonts w:ascii="Arial" w:hAnsi="Arial" w:cs="Arial"/>
          <w:color w:val="000000"/>
          <w:lang w:val="uk-UA"/>
        </w:rPr>
        <w:t>Е</w:t>
      </w:r>
      <w:r w:rsidR="0014789E" w:rsidRPr="00CD16DC">
        <w:rPr>
          <w:rFonts w:ascii="Arial" w:hAnsi="Arial" w:cs="Arial"/>
          <w:color w:val="000000"/>
        </w:rPr>
        <w:t>кспертної</w:t>
      </w:r>
      <w:r w:rsidR="0014789E" w:rsidRPr="00BA0B1A">
        <w:rPr>
          <w:rFonts w:ascii="Arial" w:hAnsi="Arial" w:cs="Arial"/>
          <w:color w:val="000000"/>
        </w:rPr>
        <w:t xml:space="preserve"> </w:t>
      </w:r>
      <w:r w:rsidR="0014789E" w:rsidRPr="00CD16DC">
        <w:rPr>
          <w:rFonts w:ascii="Arial" w:hAnsi="Arial" w:cs="Arial"/>
          <w:color w:val="000000"/>
          <w:lang w:val="uk-UA"/>
        </w:rPr>
        <w:t>Г</w:t>
      </w:r>
      <w:r w:rsidR="0014789E" w:rsidRPr="00CD16DC">
        <w:rPr>
          <w:rFonts w:ascii="Arial" w:hAnsi="Arial" w:cs="Arial"/>
          <w:color w:val="000000"/>
        </w:rPr>
        <w:t>рупи</w:t>
      </w:r>
      <w:r w:rsidR="0014789E" w:rsidRPr="00CD16DC">
        <w:rPr>
          <w:rFonts w:ascii="Arial" w:hAnsi="Arial" w:cs="Arial"/>
          <w:color w:val="000000"/>
          <w:lang w:val="uk-UA"/>
        </w:rPr>
        <w:t xml:space="preserve"> </w:t>
      </w:r>
      <w:r w:rsidR="0014789E">
        <w:rPr>
          <w:rFonts w:ascii="Arial" w:hAnsi="Arial" w:cs="Arial"/>
          <w:color w:val="000000"/>
          <w:lang w:val="uk-UA"/>
        </w:rPr>
        <w:t xml:space="preserve">(далі </w:t>
      </w:r>
      <w:r w:rsidRPr="00CD16DC">
        <w:rPr>
          <w:rFonts w:ascii="Arial" w:hAnsi="Arial" w:cs="Arial"/>
          <w:color w:val="000000"/>
          <w:lang w:val="uk-UA"/>
        </w:rPr>
        <w:t>ЕГ</w:t>
      </w:r>
      <w:r w:rsidR="0014789E">
        <w:rPr>
          <w:rFonts w:ascii="Arial" w:hAnsi="Arial" w:cs="Arial"/>
          <w:color w:val="000000"/>
          <w:lang w:val="uk-UA"/>
        </w:rPr>
        <w:t>)</w:t>
      </w:r>
      <w:r w:rsidRPr="00CD16DC">
        <w:rPr>
          <w:rFonts w:ascii="Arial" w:hAnsi="Arial" w:cs="Arial"/>
          <w:color w:val="000000"/>
        </w:rPr>
        <w:t xml:space="preserve"> та підготовки поточних </w:t>
      </w:r>
      <w:r w:rsidRPr="00BA0B1A">
        <w:rPr>
          <w:rFonts w:ascii="Arial" w:hAnsi="Arial" w:cs="Arial"/>
          <w:i/>
          <w:color w:val="000000"/>
        </w:rPr>
        <w:t xml:space="preserve">Тимчасових </w:t>
      </w:r>
      <w:r w:rsidR="0014789E">
        <w:rPr>
          <w:rFonts w:ascii="Arial" w:hAnsi="Arial" w:cs="Arial"/>
          <w:i/>
          <w:color w:val="000000"/>
          <w:lang w:val="uk-UA"/>
        </w:rPr>
        <w:t>Стратегічних</w:t>
      </w:r>
      <w:r w:rsidRPr="00BA0B1A">
        <w:rPr>
          <w:rFonts w:ascii="Arial" w:hAnsi="Arial" w:cs="Arial"/>
          <w:i/>
          <w:color w:val="000000"/>
          <w:lang w:val="uk-UA"/>
        </w:rPr>
        <w:t xml:space="preserve"> Рекомендацій</w:t>
      </w:r>
      <w:r>
        <w:rPr>
          <w:rFonts w:ascii="Arial" w:hAnsi="Arial" w:cs="Arial"/>
          <w:color w:val="000000"/>
          <w:lang w:val="uk-UA"/>
        </w:rPr>
        <w:t>.</w:t>
      </w:r>
    </w:p>
    <w:p w14:paraId="55C1917E" w14:textId="77777777" w:rsidR="00E568A1" w:rsidRPr="00CD16DC" w:rsidRDefault="00E568A1" w:rsidP="0037724F">
      <w:pPr>
        <w:autoSpaceDE w:val="0"/>
        <w:autoSpaceDN w:val="0"/>
        <w:adjustRightInd w:val="0"/>
        <w:spacing w:after="0" w:line="240" w:lineRule="auto"/>
        <w:jc w:val="both"/>
        <w:rPr>
          <w:rFonts w:ascii="Arial" w:hAnsi="Arial" w:cs="Arial"/>
          <w:color w:val="000000"/>
        </w:rPr>
      </w:pPr>
    </w:p>
    <w:p w14:paraId="7DF775DF" w14:textId="0CA124B6" w:rsidR="00E568A1" w:rsidRPr="00CD16DC" w:rsidRDefault="00E568A1" w:rsidP="0037724F">
      <w:pPr>
        <w:autoSpaceDE w:val="0"/>
        <w:autoSpaceDN w:val="0"/>
        <w:adjustRightInd w:val="0"/>
        <w:spacing w:after="0" w:line="240" w:lineRule="auto"/>
        <w:jc w:val="both"/>
        <w:rPr>
          <w:rFonts w:ascii="Arial" w:hAnsi="Arial" w:cs="Arial"/>
          <w:color w:val="000000"/>
        </w:rPr>
      </w:pPr>
      <w:r w:rsidRPr="00CD16DC">
        <w:rPr>
          <w:rFonts w:ascii="Arial" w:hAnsi="Arial" w:cs="Arial"/>
          <w:color w:val="000000"/>
        </w:rPr>
        <w:t>Дв</w:t>
      </w:r>
      <w:r w:rsidRPr="00CD16DC">
        <w:rPr>
          <w:rFonts w:ascii="Arial" w:hAnsi="Arial" w:cs="Arial"/>
          <w:color w:val="000000"/>
          <w:lang w:val="uk-UA"/>
        </w:rPr>
        <w:t>оє</w:t>
      </w:r>
      <w:r w:rsidRPr="00CD16DC">
        <w:rPr>
          <w:rFonts w:ascii="Arial" w:hAnsi="Arial" w:cs="Arial"/>
          <w:color w:val="000000"/>
        </w:rPr>
        <w:t xml:space="preserve"> член</w:t>
      </w:r>
      <w:r w:rsidRPr="00CD16DC">
        <w:rPr>
          <w:rFonts w:ascii="Arial" w:hAnsi="Arial" w:cs="Arial"/>
          <w:color w:val="000000"/>
          <w:lang w:val="uk-UA"/>
        </w:rPr>
        <w:t>ів</w:t>
      </w:r>
      <w:r w:rsidRPr="00CD16DC">
        <w:rPr>
          <w:rFonts w:ascii="Arial" w:hAnsi="Arial" w:cs="Arial"/>
          <w:color w:val="000000"/>
        </w:rPr>
        <w:t xml:space="preserve"> </w:t>
      </w:r>
      <w:r w:rsidRPr="00CD16DC">
        <w:rPr>
          <w:rFonts w:ascii="Arial" w:hAnsi="Arial" w:cs="Arial"/>
          <w:color w:val="000000"/>
          <w:lang w:val="uk-UA"/>
        </w:rPr>
        <w:t>ЕГ</w:t>
      </w:r>
      <w:r w:rsidRPr="00CD16DC">
        <w:rPr>
          <w:rFonts w:ascii="Arial" w:hAnsi="Arial" w:cs="Arial"/>
          <w:color w:val="000000"/>
        </w:rPr>
        <w:t xml:space="preserve"> (</w:t>
      </w:r>
      <w:r w:rsidRPr="00CD16DC">
        <w:rPr>
          <w:rFonts w:ascii="Arial" w:hAnsi="Arial" w:cs="Arial"/>
          <w:color w:val="000000"/>
          <w:lang w:val="uk-UA"/>
        </w:rPr>
        <w:t>Е</w:t>
      </w:r>
      <w:r w:rsidRPr="00CD16DC">
        <w:rPr>
          <w:rFonts w:ascii="Arial" w:hAnsi="Arial" w:cs="Arial"/>
          <w:color w:val="000000"/>
        </w:rPr>
        <w:t>р</w:t>
      </w:r>
      <w:r w:rsidRPr="00CD16DC">
        <w:rPr>
          <w:rFonts w:ascii="Arial" w:hAnsi="Arial" w:cs="Arial"/>
          <w:color w:val="000000"/>
          <w:lang w:val="uk-UA"/>
        </w:rPr>
        <w:t>і</w:t>
      </w:r>
      <w:r w:rsidRPr="00CD16DC">
        <w:rPr>
          <w:rFonts w:ascii="Arial" w:hAnsi="Arial" w:cs="Arial"/>
          <w:color w:val="000000"/>
        </w:rPr>
        <w:t>ка Ле</w:t>
      </w:r>
      <w:r w:rsidRPr="00CD16DC">
        <w:rPr>
          <w:rFonts w:ascii="Arial" w:hAnsi="Arial" w:cs="Arial"/>
          <w:color w:val="000000"/>
          <w:lang w:val="uk-UA"/>
        </w:rPr>
        <w:t>ссем</w:t>
      </w:r>
      <w:r w:rsidRPr="00CD16DC">
        <w:rPr>
          <w:rFonts w:ascii="Arial" w:hAnsi="Arial" w:cs="Arial"/>
          <w:color w:val="000000"/>
        </w:rPr>
        <w:t xml:space="preserve"> </w:t>
      </w:r>
      <w:r w:rsidRPr="00CD16DC">
        <w:rPr>
          <w:rFonts w:ascii="Arial" w:hAnsi="Arial" w:cs="Arial"/>
          <w:color w:val="000000"/>
          <w:lang w:val="uk-UA"/>
        </w:rPr>
        <w:t>та</w:t>
      </w:r>
      <w:r w:rsidRPr="00CD16DC">
        <w:rPr>
          <w:rFonts w:ascii="Arial" w:hAnsi="Arial" w:cs="Arial"/>
          <w:color w:val="000000"/>
        </w:rPr>
        <w:t xml:space="preserve"> </w:t>
      </w:r>
      <w:r w:rsidRPr="00CD16DC">
        <w:rPr>
          <w:rFonts w:ascii="Arial" w:hAnsi="Arial" w:cs="Arial"/>
          <w:color w:val="000000"/>
          <w:lang w:val="uk-UA"/>
        </w:rPr>
        <w:t>Е</w:t>
      </w:r>
      <w:r w:rsidRPr="00CD16DC">
        <w:rPr>
          <w:rFonts w:ascii="Arial" w:hAnsi="Arial" w:cs="Arial"/>
          <w:color w:val="000000"/>
        </w:rPr>
        <w:t xml:space="preserve">ндрю Вернон) заявили </w:t>
      </w:r>
      <w:r w:rsidRPr="00CD16DC">
        <w:rPr>
          <w:rFonts w:ascii="Arial" w:hAnsi="Arial" w:cs="Arial"/>
          <w:color w:val="000000"/>
          <w:lang w:val="uk-UA"/>
        </w:rPr>
        <w:t xml:space="preserve">про </w:t>
      </w:r>
      <w:r>
        <w:rPr>
          <w:rFonts w:ascii="Arial" w:hAnsi="Arial" w:cs="Arial"/>
          <w:color w:val="000000"/>
          <w:lang w:val="uk-UA"/>
        </w:rPr>
        <w:t>підтримку</w:t>
      </w:r>
      <w:r w:rsidRPr="00CD16DC">
        <w:rPr>
          <w:rFonts w:ascii="Arial" w:hAnsi="Arial" w:cs="Arial"/>
          <w:color w:val="000000"/>
          <w:lang w:val="uk-UA"/>
        </w:rPr>
        <w:t xml:space="preserve"> з б</w:t>
      </w:r>
      <w:r w:rsidR="0014789E">
        <w:rPr>
          <w:rFonts w:ascii="Arial" w:hAnsi="Arial" w:cs="Arial"/>
          <w:color w:val="000000"/>
          <w:lang w:val="uk-UA"/>
        </w:rPr>
        <w:t xml:space="preserve">оку фармацевтичних компаній у напрямку </w:t>
      </w:r>
      <w:r w:rsidRPr="00CD16DC">
        <w:rPr>
          <w:rFonts w:ascii="Arial" w:hAnsi="Arial" w:cs="Arial"/>
          <w:color w:val="000000"/>
          <w:lang w:val="uk-UA"/>
        </w:rPr>
        <w:t>здійснення роботи, не пов’язаної з даним керівництвом</w:t>
      </w:r>
      <w:r w:rsidRPr="00CD16DC">
        <w:rPr>
          <w:rFonts w:ascii="Arial" w:hAnsi="Arial" w:cs="Arial"/>
          <w:color w:val="000000"/>
        </w:rPr>
        <w:t xml:space="preserve">. </w:t>
      </w:r>
      <w:r w:rsidR="0014789E">
        <w:rPr>
          <w:rFonts w:ascii="Arial" w:hAnsi="Arial" w:cs="Arial"/>
          <w:color w:val="000000"/>
          <w:lang w:val="uk-UA"/>
        </w:rPr>
        <w:t>Ці декларації були визнані як</w:t>
      </w:r>
      <w:r w:rsidRPr="00CD16DC">
        <w:rPr>
          <w:rFonts w:ascii="Arial" w:hAnsi="Arial" w:cs="Arial"/>
          <w:color w:val="000000"/>
          <w:lang w:val="uk-UA"/>
        </w:rPr>
        <w:t xml:space="preserve"> несуттєв</w:t>
      </w:r>
      <w:r w:rsidR="0014789E">
        <w:rPr>
          <w:rFonts w:ascii="Arial" w:hAnsi="Arial" w:cs="Arial"/>
          <w:color w:val="000000"/>
          <w:lang w:val="uk-UA"/>
        </w:rPr>
        <w:t>і</w:t>
      </w:r>
      <w:r w:rsidRPr="00CD16DC">
        <w:rPr>
          <w:rFonts w:ascii="Arial" w:hAnsi="Arial" w:cs="Arial"/>
          <w:color w:val="000000"/>
          <w:lang w:val="uk-UA"/>
        </w:rPr>
        <w:t>.</w:t>
      </w:r>
      <w:r w:rsidRPr="00CD16DC">
        <w:rPr>
          <w:rFonts w:ascii="Arial" w:hAnsi="Arial" w:cs="Arial"/>
          <w:color w:val="000000"/>
        </w:rPr>
        <w:t xml:space="preserve"> </w:t>
      </w:r>
      <w:r w:rsidRPr="00CD16DC">
        <w:rPr>
          <w:rFonts w:ascii="Arial" w:hAnsi="Arial" w:cs="Arial"/>
          <w:color w:val="000000"/>
          <w:lang w:val="uk-UA"/>
        </w:rPr>
        <w:t>Інші члени ЕГ</w:t>
      </w:r>
      <w:r w:rsidR="0014789E">
        <w:rPr>
          <w:rFonts w:ascii="Arial" w:hAnsi="Arial" w:cs="Arial"/>
          <w:color w:val="000000"/>
          <w:lang w:val="uk-UA"/>
        </w:rPr>
        <w:t>,</w:t>
      </w:r>
      <w:r w:rsidRPr="00CD16DC">
        <w:rPr>
          <w:rFonts w:ascii="Arial" w:hAnsi="Arial" w:cs="Arial"/>
          <w:color w:val="000000"/>
          <w:lang w:val="uk-UA"/>
        </w:rPr>
        <w:t xml:space="preserve"> як і консультанти з технічних ресурсів та члени </w:t>
      </w:r>
      <w:r w:rsidR="0014789E">
        <w:rPr>
          <w:rFonts w:ascii="Arial" w:hAnsi="Arial" w:cs="Arial"/>
          <w:color w:val="000000"/>
          <w:lang w:val="uk-UA"/>
        </w:rPr>
        <w:t>Групи зовнішніх експерті</w:t>
      </w:r>
      <w:r>
        <w:rPr>
          <w:rFonts w:ascii="Arial" w:hAnsi="Arial" w:cs="Arial"/>
          <w:color w:val="000000"/>
          <w:lang w:val="uk-UA"/>
        </w:rPr>
        <w:t>в</w:t>
      </w:r>
      <w:r w:rsidR="0014789E">
        <w:rPr>
          <w:rFonts w:ascii="Arial" w:hAnsi="Arial" w:cs="Arial"/>
          <w:color w:val="000000"/>
          <w:lang w:val="uk-UA"/>
        </w:rPr>
        <w:t>, не ви</w:t>
      </w:r>
      <w:r w:rsidRPr="00CD16DC">
        <w:rPr>
          <w:rFonts w:ascii="Arial" w:hAnsi="Arial" w:cs="Arial"/>
          <w:color w:val="000000"/>
          <w:lang w:val="uk-UA"/>
        </w:rPr>
        <w:t>явили зацікавленості</w:t>
      </w:r>
      <w:r w:rsidRPr="00CD16DC">
        <w:rPr>
          <w:rFonts w:ascii="Arial" w:hAnsi="Arial" w:cs="Arial"/>
          <w:color w:val="000000"/>
        </w:rPr>
        <w:t>.</w:t>
      </w:r>
    </w:p>
    <w:p w14:paraId="1971E9D2" w14:textId="77777777" w:rsidR="00E568A1" w:rsidRPr="00255826" w:rsidRDefault="00E568A1" w:rsidP="0037724F">
      <w:pPr>
        <w:autoSpaceDE w:val="0"/>
        <w:autoSpaceDN w:val="0"/>
        <w:adjustRightInd w:val="0"/>
        <w:spacing w:after="0" w:line="240" w:lineRule="auto"/>
        <w:jc w:val="both"/>
        <w:rPr>
          <w:rFonts w:ascii="Arial" w:hAnsi="Arial" w:cs="Arial"/>
        </w:rPr>
      </w:pPr>
    </w:p>
    <w:p w14:paraId="71798ECC" w14:textId="77777777" w:rsidR="00667057" w:rsidRDefault="00667057" w:rsidP="0037724F">
      <w:pPr>
        <w:autoSpaceDE w:val="0"/>
        <w:autoSpaceDN w:val="0"/>
        <w:adjustRightInd w:val="0"/>
        <w:spacing w:after="0" w:line="240" w:lineRule="auto"/>
        <w:jc w:val="both"/>
        <w:rPr>
          <w:rFonts w:ascii="Arial" w:hAnsi="Arial" w:cs="Arial"/>
          <w:b/>
          <w:bCs/>
          <w:color w:val="C00000"/>
          <w:sz w:val="36"/>
          <w:szCs w:val="36"/>
          <w:lang w:val="uk-UA"/>
        </w:rPr>
      </w:pPr>
    </w:p>
    <w:p w14:paraId="224629C0" w14:textId="77777777" w:rsidR="00AF7BEF" w:rsidRDefault="00AF7BEF" w:rsidP="009B51D9">
      <w:pPr>
        <w:autoSpaceDE w:val="0"/>
        <w:autoSpaceDN w:val="0"/>
        <w:adjustRightInd w:val="0"/>
        <w:spacing w:after="0" w:line="240" w:lineRule="auto"/>
        <w:jc w:val="both"/>
        <w:outlineLvl w:val="0"/>
        <w:rPr>
          <w:rFonts w:ascii="Arial" w:hAnsi="Arial" w:cs="Arial"/>
          <w:b/>
          <w:bCs/>
          <w:color w:val="C00000"/>
          <w:sz w:val="36"/>
          <w:szCs w:val="36"/>
          <w:lang w:val="uk-UA"/>
        </w:rPr>
      </w:pPr>
    </w:p>
    <w:p w14:paraId="78BC7EE4" w14:textId="77777777" w:rsidR="00AF7BEF" w:rsidRDefault="00AF7BEF" w:rsidP="009B51D9">
      <w:pPr>
        <w:autoSpaceDE w:val="0"/>
        <w:autoSpaceDN w:val="0"/>
        <w:adjustRightInd w:val="0"/>
        <w:spacing w:after="0" w:line="240" w:lineRule="auto"/>
        <w:jc w:val="both"/>
        <w:outlineLvl w:val="0"/>
        <w:rPr>
          <w:rFonts w:ascii="Arial" w:hAnsi="Arial" w:cs="Arial"/>
          <w:b/>
          <w:bCs/>
          <w:color w:val="C00000"/>
          <w:sz w:val="36"/>
          <w:szCs w:val="36"/>
          <w:lang w:val="uk-UA"/>
        </w:rPr>
      </w:pPr>
    </w:p>
    <w:p w14:paraId="13896229" w14:textId="0F20A54A" w:rsidR="00E568A1" w:rsidRPr="00A32EE6" w:rsidRDefault="00AC042B" w:rsidP="009B51D9">
      <w:pPr>
        <w:autoSpaceDE w:val="0"/>
        <w:autoSpaceDN w:val="0"/>
        <w:adjustRightInd w:val="0"/>
        <w:spacing w:after="0" w:line="240" w:lineRule="auto"/>
        <w:jc w:val="both"/>
        <w:outlineLvl w:val="0"/>
        <w:rPr>
          <w:rFonts w:ascii="Arial" w:hAnsi="Arial" w:cs="Arial"/>
          <w:b/>
          <w:bCs/>
          <w:color w:val="6A2041"/>
          <w:sz w:val="36"/>
          <w:szCs w:val="36"/>
          <w:lang w:val="uk-UA"/>
        </w:rPr>
      </w:pPr>
      <w:r>
        <w:rPr>
          <w:noProof/>
          <w:sz w:val="20"/>
          <w:szCs w:val="20"/>
          <w:lang w:eastAsia="ru-RU"/>
        </w:rPr>
        <w:drawing>
          <wp:anchor distT="0" distB="0" distL="114300" distR="114300" simplePos="0" relativeHeight="251679744" behindDoc="1" locked="0" layoutInCell="0" allowOverlap="1" wp14:anchorId="33F516E8" wp14:editId="5C7C8318">
            <wp:simplePos x="0" y="0"/>
            <wp:positionH relativeFrom="page">
              <wp:posOffset>731520</wp:posOffset>
            </wp:positionH>
            <wp:positionV relativeFrom="page">
              <wp:posOffset>232117</wp:posOffset>
            </wp:positionV>
            <wp:extent cx="802298" cy="567644"/>
            <wp:effectExtent l="0" t="0" r="10795" b="0"/>
            <wp:wrapNone/>
            <wp:docPr id="6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17373" cy="578310"/>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67456" behindDoc="1" locked="0" layoutInCell="0" allowOverlap="1" wp14:anchorId="2D965658" wp14:editId="7430E306">
            <wp:simplePos x="0" y="0"/>
            <wp:positionH relativeFrom="page">
              <wp:posOffset>734158</wp:posOffset>
            </wp:positionH>
            <wp:positionV relativeFrom="page">
              <wp:posOffset>233143</wp:posOffset>
            </wp:positionV>
            <wp:extent cx="800930" cy="577678"/>
            <wp:effectExtent l="0" t="0" r="12065" b="6985"/>
            <wp:wrapNone/>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00930" cy="577678"/>
                    </a:xfrm>
                    <a:prstGeom prst="rect">
                      <a:avLst/>
                    </a:prstGeom>
                    <a:noFill/>
                  </pic:spPr>
                </pic:pic>
              </a:graphicData>
            </a:graphic>
            <wp14:sizeRelH relativeFrom="margin">
              <wp14:pctWidth>0</wp14:pctWidth>
            </wp14:sizeRelH>
            <wp14:sizeRelV relativeFrom="margin">
              <wp14:pctHeight>0</wp14:pctHeight>
            </wp14:sizeRelV>
          </wp:anchor>
        </w:drawing>
      </w:r>
      <w:r w:rsidR="00936938">
        <w:rPr>
          <w:rFonts w:ascii="Arial" w:hAnsi="Arial" w:cs="Arial"/>
          <w:b/>
          <w:bCs/>
          <w:color w:val="6A2041"/>
          <w:sz w:val="36"/>
          <w:szCs w:val="36"/>
          <w:lang w:val="uk-UA"/>
        </w:rPr>
        <w:t>Резюме</w:t>
      </w:r>
    </w:p>
    <w:p w14:paraId="18877179" w14:textId="77777777" w:rsidR="00A60AE1" w:rsidRPr="00A32EE6" w:rsidRDefault="00A60AE1" w:rsidP="0037724F">
      <w:pPr>
        <w:autoSpaceDE w:val="0"/>
        <w:autoSpaceDN w:val="0"/>
        <w:adjustRightInd w:val="0"/>
        <w:spacing w:after="0" w:line="240" w:lineRule="auto"/>
        <w:jc w:val="both"/>
        <w:rPr>
          <w:rFonts w:ascii="Arial" w:hAnsi="Arial" w:cs="Arial"/>
          <w:b/>
          <w:bCs/>
          <w:color w:val="6A2041"/>
          <w:sz w:val="20"/>
          <w:szCs w:val="20"/>
          <w:lang w:val="uk-UA"/>
        </w:rPr>
      </w:pPr>
    </w:p>
    <w:p w14:paraId="1F18F9BD" w14:textId="0398C98A" w:rsidR="00E568A1" w:rsidRPr="00A32EE6" w:rsidRDefault="00CC3209" w:rsidP="000F7574">
      <w:pPr>
        <w:pStyle w:val="ad"/>
        <w:numPr>
          <w:ilvl w:val="0"/>
          <w:numId w:val="14"/>
        </w:numPr>
        <w:autoSpaceDE w:val="0"/>
        <w:autoSpaceDN w:val="0"/>
        <w:adjustRightInd w:val="0"/>
        <w:spacing w:after="0" w:line="240" w:lineRule="auto"/>
        <w:jc w:val="both"/>
        <w:outlineLvl w:val="0"/>
        <w:rPr>
          <w:rFonts w:ascii="Arial" w:hAnsi="Arial" w:cs="Arial"/>
          <w:b/>
          <w:bCs/>
          <w:color w:val="6A2041"/>
          <w:sz w:val="28"/>
          <w:szCs w:val="28"/>
          <w:lang w:val="uk-UA"/>
        </w:rPr>
      </w:pPr>
      <w:r w:rsidRPr="00A32EE6">
        <w:rPr>
          <w:rFonts w:ascii="Arial" w:hAnsi="Arial" w:cs="Arial"/>
          <w:b/>
          <w:bCs/>
          <w:color w:val="6A2041"/>
          <w:sz w:val="28"/>
          <w:szCs w:val="28"/>
          <w:lang w:val="uk-UA"/>
        </w:rPr>
        <w:t>Передумови</w:t>
      </w:r>
    </w:p>
    <w:p w14:paraId="1C3185C7" w14:textId="77777777" w:rsidR="00E568A1"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p w14:paraId="32E5ED06" w14:textId="77777777" w:rsidR="00A60AE1" w:rsidRPr="006F2276" w:rsidRDefault="00A60AE1" w:rsidP="0037724F">
      <w:pPr>
        <w:autoSpaceDE w:val="0"/>
        <w:autoSpaceDN w:val="0"/>
        <w:adjustRightInd w:val="0"/>
        <w:spacing w:after="0" w:line="240" w:lineRule="auto"/>
        <w:jc w:val="both"/>
        <w:rPr>
          <w:rFonts w:ascii="Arial" w:hAnsi="Arial" w:cs="Arial"/>
          <w:b/>
          <w:bCs/>
          <w:color w:val="000000"/>
          <w:sz w:val="16"/>
          <w:szCs w:val="16"/>
          <w:lang w:val="uk-UA"/>
        </w:rPr>
      </w:pPr>
    </w:p>
    <w:p w14:paraId="39C2CED4" w14:textId="7D839C6C" w:rsidR="00E568A1" w:rsidRPr="00393CCC" w:rsidRDefault="0083452F" w:rsidP="0037724F">
      <w:pPr>
        <w:autoSpaceDE w:val="0"/>
        <w:autoSpaceDN w:val="0"/>
        <w:adjustRightInd w:val="0"/>
        <w:spacing w:after="0" w:line="240" w:lineRule="auto"/>
        <w:jc w:val="both"/>
        <w:rPr>
          <w:rFonts w:ascii="Arial" w:hAnsi="Arial" w:cs="Arial"/>
          <w:color w:val="000000"/>
          <w:szCs w:val="24"/>
          <w:lang w:val="uk-UA"/>
        </w:rPr>
      </w:pPr>
      <w:r>
        <w:rPr>
          <w:rFonts w:ascii="Arial" w:hAnsi="Arial" w:cs="Arial"/>
          <w:color w:val="000000"/>
          <w:lang w:val="uk-UA"/>
        </w:rPr>
        <w:t>Розвиток</w:t>
      </w:r>
      <w:r w:rsidR="00AF7BEF">
        <w:rPr>
          <w:rFonts w:ascii="Arial" w:hAnsi="Arial" w:cs="Arial"/>
          <w:color w:val="000000"/>
          <w:lang w:val="uk-UA"/>
        </w:rPr>
        <w:t xml:space="preserve"> </w:t>
      </w:r>
      <w:r w:rsidR="00F413F0">
        <w:rPr>
          <w:rFonts w:ascii="Arial" w:hAnsi="Arial" w:cs="Arial"/>
          <w:color w:val="000000"/>
          <w:lang w:val="uk-UA"/>
        </w:rPr>
        <w:t xml:space="preserve">стійкості до лікарських засобів </w:t>
      </w:r>
      <w:r w:rsidR="00E568A1" w:rsidRPr="00CD16DC">
        <w:rPr>
          <w:rFonts w:ascii="Arial" w:hAnsi="Arial" w:cs="Arial"/>
          <w:color w:val="000000"/>
          <w:lang w:val="uk-UA"/>
        </w:rPr>
        <w:t xml:space="preserve">є серйозною загрозою </w:t>
      </w:r>
      <w:r w:rsidR="00E568A1">
        <w:rPr>
          <w:rFonts w:ascii="Arial" w:hAnsi="Arial" w:cs="Arial"/>
          <w:color w:val="000000"/>
          <w:lang w:val="uk-UA"/>
        </w:rPr>
        <w:t>для лікування та боротьби з туберкульозом</w:t>
      </w:r>
      <w:r w:rsidR="00E568A1" w:rsidRPr="00CD16DC">
        <w:rPr>
          <w:rFonts w:ascii="Arial" w:hAnsi="Arial" w:cs="Arial"/>
          <w:color w:val="000000"/>
          <w:lang w:val="uk-UA"/>
        </w:rPr>
        <w:t xml:space="preserve"> (ТБ) у </w:t>
      </w:r>
      <w:r w:rsidR="00E568A1">
        <w:rPr>
          <w:rFonts w:ascii="Arial" w:hAnsi="Arial" w:cs="Arial"/>
          <w:color w:val="000000"/>
          <w:lang w:val="uk-UA"/>
        </w:rPr>
        <w:t xml:space="preserve">всьому </w:t>
      </w:r>
      <w:r w:rsidR="00E568A1" w:rsidRPr="00CD16DC">
        <w:rPr>
          <w:rFonts w:ascii="Arial" w:hAnsi="Arial" w:cs="Arial"/>
          <w:color w:val="000000"/>
          <w:lang w:val="uk-UA"/>
        </w:rPr>
        <w:t xml:space="preserve">світі. За оцінками Всесвітньої організації охорони здоров'я (ВООЗ) у світі щорічно </w:t>
      </w:r>
      <w:r w:rsidR="00E568A1">
        <w:rPr>
          <w:rFonts w:ascii="Arial" w:hAnsi="Arial" w:cs="Arial"/>
          <w:color w:val="000000"/>
          <w:lang w:val="uk-UA"/>
        </w:rPr>
        <w:t>виникає</w:t>
      </w:r>
      <w:r w:rsidR="00E568A1" w:rsidRPr="00CD16DC">
        <w:rPr>
          <w:rFonts w:ascii="Arial" w:hAnsi="Arial" w:cs="Arial"/>
          <w:color w:val="000000"/>
          <w:lang w:val="uk-UA"/>
        </w:rPr>
        <w:t xml:space="preserve"> до півмільйона нових випадків захворювань на </w:t>
      </w:r>
      <w:r w:rsidR="00E568A1">
        <w:rPr>
          <w:rFonts w:ascii="Arial" w:hAnsi="Arial" w:cs="Arial"/>
          <w:color w:val="000000"/>
          <w:lang w:val="uk-UA"/>
        </w:rPr>
        <w:t xml:space="preserve">мультирезистентний </w:t>
      </w:r>
      <w:r w:rsidR="00E568A1" w:rsidRPr="00CD16DC">
        <w:rPr>
          <w:rFonts w:ascii="Arial" w:hAnsi="Arial" w:cs="Arial"/>
          <w:color w:val="000000"/>
          <w:lang w:val="uk-UA"/>
        </w:rPr>
        <w:t>туберкульоз (</w:t>
      </w:r>
      <w:r w:rsidR="009B51D9">
        <w:rPr>
          <w:rFonts w:ascii="Arial" w:hAnsi="Arial" w:cs="Arial"/>
          <w:color w:val="000000"/>
          <w:lang w:val="uk-UA"/>
        </w:rPr>
        <w:t>МР ТБ</w:t>
      </w:r>
      <w:r w:rsidR="00E568A1" w:rsidRPr="00CD16DC">
        <w:rPr>
          <w:rFonts w:ascii="Arial" w:hAnsi="Arial" w:cs="Arial"/>
          <w:color w:val="000000"/>
          <w:lang w:val="uk-UA"/>
        </w:rPr>
        <w:t>)</w:t>
      </w:r>
      <w:r w:rsidR="00E568A1">
        <w:rPr>
          <w:rFonts w:ascii="Arial" w:hAnsi="Arial" w:cs="Arial"/>
          <w:color w:val="000000"/>
          <w:lang w:val="uk-UA"/>
        </w:rPr>
        <w:t xml:space="preserve"> (тобто, стійкий</w:t>
      </w:r>
      <w:r w:rsidR="00E568A1" w:rsidRPr="00CD16DC">
        <w:rPr>
          <w:rFonts w:ascii="Arial" w:hAnsi="Arial" w:cs="Arial"/>
          <w:color w:val="000000"/>
          <w:lang w:val="uk-UA"/>
        </w:rPr>
        <w:t xml:space="preserve"> до, принаймні, рифампіцину та ізоніазиду). </w:t>
      </w:r>
      <w:r w:rsidR="00E568A1" w:rsidRPr="00762450">
        <w:rPr>
          <w:rFonts w:ascii="Arial" w:hAnsi="Arial" w:cs="Arial"/>
          <w:color w:val="000000"/>
          <w:lang w:val="uk-UA"/>
        </w:rPr>
        <w:t>Су</w:t>
      </w:r>
      <w:r w:rsidR="00AA25E0">
        <w:rPr>
          <w:rFonts w:ascii="Arial" w:hAnsi="Arial" w:cs="Arial"/>
          <w:color w:val="000000"/>
          <w:lang w:val="uk-UA"/>
        </w:rPr>
        <w:t xml:space="preserve">часні </w:t>
      </w:r>
      <w:r w:rsidR="00E568A1" w:rsidRPr="00762450">
        <w:rPr>
          <w:rFonts w:ascii="Arial" w:hAnsi="Arial" w:cs="Arial"/>
          <w:color w:val="000000"/>
          <w:lang w:val="uk-UA"/>
        </w:rPr>
        <w:t xml:space="preserve">режими лікування </w:t>
      </w:r>
      <w:r w:rsidR="009B51D9">
        <w:rPr>
          <w:rFonts w:ascii="Arial" w:hAnsi="Arial" w:cs="Arial"/>
          <w:color w:val="000000"/>
          <w:lang w:val="uk-UA"/>
        </w:rPr>
        <w:t>МР ТБ</w:t>
      </w:r>
      <w:r w:rsidR="00E568A1" w:rsidRPr="00762450">
        <w:rPr>
          <w:rFonts w:ascii="Arial" w:hAnsi="Arial" w:cs="Arial"/>
          <w:color w:val="000000"/>
          <w:lang w:val="uk-UA"/>
        </w:rPr>
        <w:t xml:space="preserve"> далекі від задовільних: загальна тривалість </w:t>
      </w:r>
      <w:r w:rsidR="00E568A1">
        <w:rPr>
          <w:rFonts w:ascii="Arial" w:hAnsi="Arial" w:cs="Arial"/>
          <w:color w:val="000000"/>
          <w:lang w:val="uk-UA"/>
        </w:rPr>
        <w:t>лікування</w:t>
      </w:r>
      <w:r w:rsidR="00E568A1" w:rsidRPr="00762450">
        <w:rPr>
          <w:rFonts w:ascii="Arial" w:hAnsi="Arial" w:cs="Arial"/>
          <w:color w:val="000000"/>
          <w:lang w:val="uk-UA"/>
        </w:rPr>
        <w:t xml:space="preserve"> становить 20 і більше</w:t>
      </w:r>
      <w:r w:rsidR="00E568A1">
        <w:rPr>
          <w:rFonts w:ascii="Arial" w:hAnsi="Arial" w:cs="Arial"/>
          <w:color w:val="000000"/>
          <w:lang w:val="uk-UA"/>
        </w:rPr>
        <w:t xml:space="preserve"> місяців</w:t>
      </w:r>
      <w:r w:rsidR="00E568A1" w:rsidRPr="00762450">
        <w:rPr>
          <w:rFonts w:ascii="Arial" w:hAnsi="Arial" w:cs="Arial"/>
          <w:color w:val="000000"/>
          <w:lang w:val="uk-UA"/>
        </w:rPr>
        <w:t xml:space="preserve">, що вимагає щоденного прийому ліків, які є більш токсичними та менш ефективними, ніж ті, </w:t>
      </w:r>
      <w:r w:rsidR="00AA25E0">
        <w:rPr>
          <w:rFonts w:ascii="Arial" w:hAnsi="Arial" w:cs="Arial"/>
          <w:color w:val="000000"/>
          <w:lang w:val="uk-UA"/>
        </w:rPr>
        <w:t>що застосовуються для лікування лікарсько-</w:t>
      </w:r>
      <w:r w:rsidR="0017399F">
        <w:rPr>
          <w:rFonts w:ascii="Arial" w:hAnsi="Arial" w:cs="Arial"/>
          <w:color w:val="000000"/>
          <w:lang w:val="uk-UA"/>
        </w:rPr>
        <w:t xml:space="preserve">чутливого туберкульозу, </w:t>
      </w:r>
      <w:r w:rsidR="00E568A1" w:rsidRPr="00762450">
        <w:rPr>
          <w:rFonts w:ascii="Arial" w:hAnsi="Arial" w:cs="Arial"/>
          <w:color w:val="000000"/>
          <w:lang w:val="uk-UA"/>
        </w:rPr>
        <w:t>і мають високу вартість.</w:t>
      </w:r>
      <w:r w:rsidR="00E568A1">
        <w:rPr>
          <w:rFonts w:ascii="Arial" w:hAnsi="Arial" w:cs="Arial"/>
          <w:color w:val="000000"/>
          <w:lang w:val="uk-UA"/>
        </w:rPr>
        <w:t xml:space="preserve"> </w:t>
      </w:r>
      <w:r w:rsidR="00E568A1" w:rsidRPr="00393CCC">
        <w:rPr>
          <w:rFonts w:ascii="Arial" w:hAnsi="Arial" w:cs="Arial"/>
          <w:color w:val="000000"/>
          <w:lang w:val="uk-UA"/>
        </w:rPr>
        <w:t xml:space="preserve">Серед пацієнтів з </w:t>
      </w:r>
      <w:r w:rsidR="008B63B2">
        <w:rPr>
          <w:rFonts w:ascii="Arial" w:hAnsi="Arial" w:cs="Arial"/>
          <w:color w:val="000000"/>
          <w:lang w:val="uk-UA"/>
        </w:rPr>
        <w:t xml:space="preserve">МР </w:t>
      </w:r>
      <w:r w:rsidR="00AA25E0">
        <w:rPr>
          <w:rFonts w:ascii="Arial" w:hAnsi="Arial" w:cs="Arial"/>
          <w:color w:val="000000"/>
          <w:lang w:val="uk-UA"/>
        </w:rPr>
        <w:t>ТБ</w:t>
      </w:r>
      <w:r w:rsidR="00E568A1" w:rsidRPr="00393CCC">
        <w:rPr>
          <w:rFonts w:ascii="Arial" w:hAnsi="Arial" w:cs="Arial"/>
          <w:color w:val="000000"/>
          <w:lang w:val="uk-UA"/>
        </w:rPr>
        <w:t>, які почали лікування у 2009 роц</w:t>
      </w:r>
      <w:r w:rsidR="00E568A1">
        <w:rPr>
          <w:rFonts w:ascii="Arial" w:hAnsi="Arial" w:cs="Arial"/>
          <w:color w:val="000000"/>
          <w:lang w:val="uk-UA"/>
        </w:rPr>
        <w:t>і у всьому світі, лише 48% пройшли успішне ліку</w:t>
      </w:r>
      <w:r w:rsidR="00E568A1" w:rsidRPr="00393CCC">
        <w:rPr>
          <w:rFonts w:ascii="Arial" w:hAnsi="Arial" w:cs="Arial"/>
          <w:color w:val="000000"/>
          <w:lang w:val="uk-UA"/>
        </w:rPr>
        <w:t xml:space="preserve">вання, в основному через високу частоту смертей пацієнтів (15%) та </w:t>
      </w:r>
      <w:r w:rsidR="00E568A1">
        <w:rPr>
          <w:rFonts w:ascii="Arial" w:hAnsi="Arial" w:cs="Arial"/>
          <w:color w:val="000000"/>
          <w:lang w:val="uk-UA"/>
        </w:rPr>
        <w:t>припине</w:t>
      </w:r>
      <w:r w:rsidR="00347B8D">
        <w:rPr>
          <w:rFonts w:ascii="Arial" w:hAnsi="Arial" w:cs="Arial"/>
          <w:color w:val="000000"/>
          <w:lang w:val="uk-UA"/>
        </w:rPr>
        <w:t>ння лікування</w:t>
      </w:r>
      <w:r w:rsidR="00E568A1">
        <w:rPr>
          <w:rFonts w:ascii="Arial" w:hAnsi="Arial" w:cs="Arial"/>
          <w:color w:val="000000"/>
          <w:lang w:val="uk-UA"/>
        </w:rPr>
        <w:t xml:space="preserve"> внаслідок втрати зв</w:t>
      </w:r>
      <w:r w:rsidR="00E568A1" w:rsidRPr="006F2276">
        <w:rPr>
          <w:rFonts w:ascii="Arial" w:hAnsi="Arial" w:cs="Arial"/>
          <w:color w:val="000000"/>
          <w:lang w:val="uk-UA"/>
        </w:rPr>
        <w:t>’</w:t>
      </w:r>
      <w:r w:rsidR="00E568A1">
        <w:rPr>
          <w:rFonts w:ascii="Arial" w:hAnsi="Arial" w:cs="Arial"/>
          <w:color w:val="000000"/>
          <w:lang w:val="uk-UA"/>
        </w:rPr>
        <w:t>язку з пацієнтом</w:t>
      </w:r>
      <w:r w:rsidR="00E568A1" w:rsidRPr="00393CCC">
        <w:rPr>
          <w:rFonts w:ascii="Arial" w:hAnsi="Arial" w:cs="Arial"/>
          <w:color w:val="000000"/>
          <w:lang w:val="uk-UA"/>
        </w:rPr>
        <w:t xml:space="preserve"> (28%), що зазвичай пов'язане з побічними реакціями на</w:t>
      </w:r>
      <w:r w:rsidR="00347B8D">
        <w:rPr>
          <w:rFonts w:ascii="Arial" w:hAnsi="Arial" w:cs="Arial"/>
          <w:color w:val="000000"/>
          <w:lang w:val="uk-UA"/>
        </w:rPr>
        <w:t xml:space="preserve"> препарати</w:t>
      </w:r>
      <w:r w:rsidR="00E568A1" w:rsidRPr="00393CCC">
        <w:rPr>
          <w:rFonts w:ascii="Arial" w:hAnsi="Arial" w:cs="Arial"/>
          <w:color w:val="000000"/>
          <w:lang w:val="uk-UA"/>
        </w:rPr>
        <w:t>.</w:t>
      </w:r>
      <w:r w:rsidR="00E568A1">
        <w:rPr>
          <w:rFonts w:ascii="Arial" w:hAnsi="Arial" w:cs="Arial"/>
          <w:color w:val="000000"/>
          <w:lang w:val="uk-UA"/>
        </w:rPr>
        <w:t xml:space="preserve"> </w:t>
      </w:r>
      <w:r w:rsidR="00E568A1" w:rsidRPr="00393CCC">
        <w:rPr>
          <w:rFonts w:ascii="Arial" w:hAnsi="Arial" w:cs="Arial"/>
          <w:color w:val="000000"/>
          <w:lang w:val="uk-UA"/>
        </w:rPr>
        <w:t xml:space="preserve">У </w:t>
      </w:r>
      <w:r w:rsidR="00347B8D">
        <w:rPr>
          <w:rFonts w:ascii="Arial" w:hAnsi="Arial" w:cs="Arial"/>
          <w:color w:val="000000"/>
          <w:lang w:val="uk-UA"/>
        </w:rPr>
        <w:t xml:space="preserve">підгрупі з 200 пацієнтів з </w:t>
      </w:r>
      <w:r w:rsidR="003229B4">
        <w:rPr>
          <w:rFonts w:ascii="Arial" w:hAnsi="Arial" w:cs="Arial"/>
          <w:color w:val="000000"/>
          <w:lang w:val="uk-UA"/>
        </w:rPr>
        <w:t>РР ТБ</w:t>
      </w:r>
      <w:r w:rsidR="00347B8D">
        <w:rPr>
          <w:rFonts w:ascii="Arial" w:hAnsi="Arial" w:cs="Arial"/>
          <w:color w:val="000000"/>
          <w:lang w:val="uk-UA"/>
        </w:rPr>
        <w:t xml:space="preserve"> </w:t>
      </w:r>
      <w:r w:rsidR="00E568A1" w:rsidRPr="00393CCC">
        <w:rPr>
          <w:rFonts w:ascii="Arial" w:hAnsi="Arial" w:cs="Arial"/>
          <w:color w:val="000000"/>
          <w:lang w:val="uk-UA"/>
        </w:rPr>
        <w:t>у 14 країнах успішніст</w:t>
      </w:r>
      <w:r w:rsidR="00E568A1">
        <w:rPr>
          <w:rFonts w:ascii="Arial" w:hAnsi="Arial" w:cs="Arial"/>
          <w:color w:val="000000"/>
          <w:lang w:val="uk-UA"/>
        </w:rPr>
        <w:t>ь лікування становила лише 33% в</w:t>
      </w:r>
      <w:r w:rsidR="00347B8D">
        <w:rPr>
          <w:rFonts w:ascii="Arial" w:hAnsi="Arial" w:cs="Arial"/>
          <w:color w:val="000000"/>
          <w:lang w:val="uk-UA"/>
        </w:rPr>
        <w:t xml:space="preserve"> цілому, у той час як </w:t>
      </w:r>
      <w:r w:rsidR="00E568A1" w:rsidRPr="00393CCC">
        <w:rPr>
          <w:rFonts w:ascii="Arial" w:hAnsi="Arial" w:cs="Arial"/>
          <w:color w:val="000000"/>
          <w:lang w:val="uk-UA"/>
        </w:rPr>
        <w:t>26% пацієнтів померли. Тому для зменшення ст</w:t>
      </w:r>
      <w:r w:rsidR="00E568A1">
        <w:rPr>
          <w:rFonts w:ascii="Arial" w:hAnsi="Arial" w:cs="Arial"/>
          <w:color w:val="000000"/>
          <w:lang w:val="uk-UA"/>
        </w:rPr>
        <w:t>р</w:t>
      </w:r>
      <w:r w:rsidR="00E568A1" w:rsidRPr="00393CCC">
        <w:rPr>
          <w:rFonts w:ascii="Arial" w:hAnsi="Arial" w:cs="Arial"/>
          <w:color w:val="000000"/>
          <w:lang w:val="uk-UA"/>
        </w:rPr>
        <w:t>аждання та смертності пацієнтів виникає нагальна необхідність у нових препаратах, які допоможуть розробити кращий, безпечніший, менш токсичний, коротший та дешев</w:t>
      </w:r>
      <w:r w:rsidR="00347B8D">
        <w:rPr>
          <w:rFonts w:ascii="Arial" w:hAnsi="Arial" w:cs="Arial"/>
          <w:color w:val="000000"/>
          <w:lang w:val="uk-UA"/>
        </w:rPr>
        <w:t>ш</w:t>
      </w:r>
      <w:r w:rsidR="00E568A1" w:rsidRPr="00393CCC">
        <w:rPr>
          <w:rFonts w:ascii="Arial" w:hAnsi="Arial" w:cs="Arial"/>
          <w:color w:val="000000"/>
          <w:lang w:val="uk-UA"/>
        </w:rPr>
        <w:t>ий режим лікування.</w:t>
      </w:r>
    </w:p>
    <w:p w14:paraId="01857815" w14:textId="77777777" w:rsidR="00E568A1" w:rsidRPr="00CD16DC" w:rsidRDefault="00E568A1" w:rsidP="0037724F">
      <w:pPr>
        <w:autoSpaceDE w:val="0"/>
        <w:autoSpaceDN w:val="0"/>
        <w:adjustRightInd w:val="0"/>
        <w:spacing w:after="0" w:line="240" w:lineRule="auto"/>
        <w:jc w:val="both"/>
        <w:rPr>
          <w:rFonts w:ascii="Arial" w:hAnsi="Arial" w:cs="Arial"/>
          <w:color w:val="000000"/>
          <w:lang w:val="uk-UA"/>
        </w:rPr>
      </w:pPr>
    </w:p>
    <w:p w14:paraId="785C61AB" w14:textId="676B9E75" w:rsidR="00E568A1" w:rsidRPr="002E2178" w:rsidRDefault="00E568A1" w:rsidP="0037724F">
      <w:pPr>
        <w:autoSpaceDE w:val="0"/>
        <w:autoSpaceDN w:val="0"/>
        <w:adjustRightInd w:val="0"/>
        <w:spacing w:after="0" w:line="240" w:lineRule="auto"/>
        <w:jc w:val="both"/>
        <w:rPr>
          <w:rFonts w:ascii="Arial" w:hAnsi="Arial" w:cs="Arial"/>
          <w:color w:val="000000"/>
          <w:lang w:val="uk-UA"/>
        </w:rPr>
      </w:pPr>
      <w:r w:rsidRPr="004F0788">
        <w:rPr>
          <w:rFonts w:ascii="Arial" w:hAnsi="Arial" w:cs="Arial"/>
          <w:color w:val="000000"/>
          <w:lang w:val="uk-UA"/>
        </w:rPr>
        <w:t>За останні десять років різко змінили</w:t>
      </w:r>
      <w:r>
        <w:rPr>
          <w:rFonts w:ascii="Arial" w:hAnsi="Arial" w:cs="Arial"/>
          <w:color w:val="000000"/>
          <w:lang w:val="uk-UA"/>
        </w:rPr>
        <w:t>вся напрямок</w:t>
      </w:r>
      <w:r w:rsidRPr="004F0788">
        <w:rPr>
          <w:rFonts w:ascii="Arial" w:hAnsi="Arial" w:cs="Arial"/>
          <w:color w:val="000000"/>
          <w:lang w:val="uk-UA"/>
        </w:rPr>
        <w:t xml:space="preserve"> розвитку протитуберкульозних препаратів, а нові препарати</w:t>
      </w:r>
      <w:r>
        <w:rPr>
          <w:rFonts w:ascii="Arial" w:hAnsi="Arial" w:cs="Arial"/>
          <w:color w:val="000000"/>
          <w:lang w:val="uk-UA"/>
        </w:rPr>
        <w:t xml:space="preserve">, призначені для лікування </w:t>
      </w:r>
      <w:r w:rsidR="009B51D9">
        <w:rPr>
          <w:rFonts w:ascii="Arial" w:hAnsi="Arial" w:cs="Arial"/>
          <w:color w:val="000000"/>
          <w:lang w:val="uk-UA"/>
        </w:rPr>
        <w:t>МР ТБ</w:t>
      </w:r>
      <w:r>
        <w:rPr>
          <w:rFonts w:ascii="Arial" w:hAnsi="Arial" w:cs="Arial"/>
          <w:color w:val="000000"/>
          <w:lang w:val="uk-UA"/>
        </w:rPr>
        <w:t>,</w:t>
      </w:r>
      <w:r w:rsidRPr="004F0788">
        <w:rPr>
          <w:rFonts w:ascii="Arial" w:hAnsi="Arial" w:cs="Arial"/>
          <w:color w:val="000000"/>
          <w:lang w:val="uk-UA"/>
        </w:rPr>
        <w:t xml:space="preserve"> досягли ІІІ фази випробувань.</w:t>
      </w:r>
      <w:r>
        <w:rPr>
          <w:rFonts w:ascii="Arial" w:hAnsi="Arial" w:cs="Arial"/>
          <w:color w:val="000000"/>
          <w:lang w:val="uk-UA"/>
        </w:rPr>
        <w:t xml:space="preserve"> </w:t>
      </w:r>
      <w:r w:rsidRPr="004F0788">
        <w:rPr>
          <w:rFonts w:ascii="Arial" w:hAnsi="Arial" w:cs="Arial"/>
          <w:color w:val="000000"/>
          <w:lang w:val="uk-UA"/>
        </w:rPr>
        <w:t xml:space="preserve">Серед них - новий лікарський препарат, бедаквілін, нещодавно (грудень 2012 р.) отримав схвалення </w:t>
      </w:r>
      <w:r w:rsidR="00A82D88" w:rsidRPr="004F0788">
        <w:rPr>
          <w:rFonts w:ascii="Arial" w:hAnsi="Arial" w:cs="Arial"/>
          <w:color w:val="000000"/>
          <w:lang w:val="uk-UA"/>
        </w:rPr>
        <w:t>Управлінням з контролю за харчовими продуктами та ліками</w:t>
      </w:r>
      <w:r w:rsidR="00A82D88">
        <w:rPr>
          <w:rFonts w:ascii="Arial" w:hAnsi="Arial" w:cs="Arial"/>
          <w:color w:val="000000"/>
          <w:lang w:val="uk-UA"/>
        </w:rPr>
        <w:t xml:space="preserve"> США </w:t>
      </w:r>
      <w:r w:rsidR="00347B8D">
        <w:rPr>
          <w:rFonts w:ascii="Arial" w:hAnsi="Arial" w:cs="Arial"/>
          <w:color w:val="000000"/>
          <w:lang w:val="uk-UA"/>
        </w:rPr>
        <w:t xml:space="preserve">за прискореною </w:t>
      </w:r>
      <w:r w:rsidR="00A82D88">
        <w:rPr>
          <w:rFonts w:ascii="Arial" w:hAnsi="Arial" w:cs="Arial"/>
          <w:color w:val="000000"/>
          <w:lang w:val="uk-UA"/>
        </w:rPr>
        <w:t>процедурою</w:t>
      </w:r>
      <w:r>
        <w:rPr>
          <w:rFonts w:ascii="Arial" w:hAnsi="Arial" w:cs="Arial"/>
          <w:color w:val="000000"/>
          <w:lang w:val="uk-UA"/>
        </w:rPr>
        <w:t xml:space="preserve"> на основі даних Ф</w:t>
      </w:r>
      <w:r w:rsidRPr="004F0788">
        <w:rPr>
          <w:rFonts w:ascii="Arial" w:hAnsi="Arial" w:cs="Arial"/>
          <w:color w:val="000000"/>
          <w:lang w:val="uk-UA"/>
        </w:rPr>
        <w:t>ази IIb.</w:t>
      </w:r>
      <w:r>
        <w:rPr>
          <w:rFonts w:ascii="Arial" w:hAnsi="Arial" w:cs="Arial"/>
          <w:color w:val="000000"/>
          <w:lang w:val="uk-UA"/>
        </w:rPr>
        <w:t xml:space="preserve"> </w:t>
      </w:r>
      <w:r w:rsidRPr="002E2178">
        <w:rPr>
          <w:rFonts w:ascii="Arial" w:hAnsi="Arial" w:cs="Arial"/>
          <w:color w:val="000000"/>
          <w:lang w:val="uk-UA"/>
        </w:rPr>
        <w:t xml:space="preserve">Подібні подання в даний час надходять до інших національних регуляторних органів у всьому світі. Держави-члени ВООЗ просили Організацію надати тимчасові рекомендації щодо застосування бедаквіліну як частини процесу лікування </w:t>
      </w:r>
      <w:r w:rsidR="009B51D9">
        <w:rPr>
          <w:rFonts w:ascii="Arial" w:hAnsi="Arial" w:cs="Arial"/>
          <w:color w:val="000000"/>
          <w:lang w:val="uk-UA"/>
        </w:rPr>
        <w:t>МР ТБ</w:t>
      </w:r>
      <w:r w:rsidRPr="002E2178">
        <w:rPr>
          <w:rFonts w:ascii="Arial" w:hAnsi="Arial" w:cs="Arial"/>
          <w:color w:val="000000"/>
          <w:lang w:val="uk-UA"/>
        </w:rPr>
        <w:t>.</w:t>
      </w:r>
    </w:p>
    <w:p w14:paraId="0B1BC520" w14:textId="77777777" w:rsidR="00E568A1" w:rsidRPr="004F0788" w:rsidRDefault="00E568A1" w:rsidP="0037724F">
      <w:pPr>
        <w:autoSpaceDE w:val="0"/>
        <w:autoSpaceDN w:val="0"/>
        <w:adjustRightInd w:val="0"/>
        <w:spacing w:after="0" w:line="240" w:lineRule="auto"/>
        <w:jc w:val="both"/>
        <w:rPr>
          <w:rFonts w:ascii="Arial" w:hAnsi="Arial" w:cs="Arial"/>
          <w:color w:val="000000"/>
          <w:lang w:val="uk-UA"/>
        </w:rPr>
      </w:pPr>
    </w:p>
    <w:p w14:paraId="43662023" w14:textId="2F8B0962" w:rsidR="00E568A1" w:rsidRPr="00751E02" w:rsidRDefault="00A82D88"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Потрібно зазначити</w:t>
      </w:r>
      <w:r w:rsidR="00E568A1" w:rsidRPr="00751E02">
        <w:rPr>
          <w:rFonts w:ascii="Arial" w:hAnsi="Arial" w:cs="Arial"/>
          <w:color w:val="000000"/>
          <w:lang w:val="uk-UA"/>
        </w:rPr>
        <w:t xml:space="preserve">, що розробка тимчасових рекомендацій щодо </w:t>
      </w:r>
      <w:r w:rsidR="007D3500">
        <w:rPr>
          <w:rFonts w:ascii="Arial" w:hAnsi="Arial" w:cs="Arial"/>
          <w:color w:val="000000"/>
          <w:lang w:val="uk-UA"/>
        </w:rPr>
        <w:t>застосування</w:t>
      </w:r>
      <w:r w:rsidR="00E568A1" w:rsidRPr="00751E02">
        <w:rPr>
          <w:rFonts w:ascii="Arial" w:hAnsi="Arial" w:cs="Arial"/>
          <w:color w:val="000000"/>
          <w:lang w:val="uk-UA"/>
        </w:rPr>
        <w:t xml:space="preserve"> нового протитуберкульозного препарату на основі даних </w:t>
      </w:r>
      <w:r>
        <w:rPr>
          <w:rFonts w:ascii="Arial" w:hAnsi="Arial" w:cs="Arial"/>
          <w:color w:val="000000"/>
          <w:lang w:val="uk-UA"/>
        </w:rPr>
        <w:t>клінічного дослідження</w:t>
      </w:r>
      <w:r w:rsidRPr="00751E02">
        <w:rPr>
          <w:rFonts w:ascii="Arial" w:hAnsi="Arial" w:cs="Arial"/>
          <w:color w:val="000000"/>
          <w:lang w:val="uk-UA"/>
        </w:rPr>
        <w:t xml:space="preserve"> </w:t>
      </w:r>
      <w:r w:rsidR="00E568A1" w:rsidRPr="00751E02">
        <w:rPr>
          <w:rFonts w:ascii="Arial" w:hAnsi="Arial" w:cs="Arial"/>
          <w:color w:val="000000"/>
          <w:lang w:val="uk-UA"/>
        </w:rPr>
        <w:t xml:space="preserve">Фази </w:t>
      </w:r>
      <w:r w:rsidRPr="00751E02">
        <w:rPr>
          <w:rFonts w:ascii="Arial" w:hAnsi="Arial" w:cs="Arial"/>
          <w:color w:val="000000"/>
          <w:lang w:val="uk-UA"/>
        </w:rPr>
        <w:t xml:space="preserve">IIb </w:t>
      </w:r>
      <w:r w:rsidR="00E568A1">
        <w:rPr>
          <w:rFonts w:ascii="Arial" w:hAnsi="Arial" w:cs="Arial"/>
          <w:color w:val="000000"/>
          <w:lang w:val="uk-UA"/>
        </w:rPr>
        <w:t>є новим кроком для ВООЗ. Видання</w:t>
      </w:r>
      <w:r w:rsidR="00E568A1" w:rsidRPr="00751E02">
        <w:rPr>
          <w:rFonts w:ascii="Arial" w:hAnsi="Arial" w:cs="Arial"/>
          <w:color w:val="000000"/>
          <w:lang w:val="uk-UA"/>
        </w:rPr>
        <w:t xml:space="preserve"> тимчасових рекоме</w:t>
      </w:r>
      <w:r w:rsidR="0017399F">
        <w:rPr>
          <w:rFonts w:ascii="Arial" w:hAnsi="Arial" w:cs="Arial"/>
          <w:color w:val="000000"/>
          <w:lang w:val="uk-UA"/>
        </w:rPr>
        <w:t xml:space="preserve">ндацій </w:t>
      </w:r>
      <w:r w:rsidR="00E568A1">
        <w:rPr>
          <w:rFonts w:ascii="Arial" w:hAnsi="Arial" w:cs="Arial"/>
          <w:color w:val="000000"/>
          <w:lang w:val="uk-UA"/>
        </w:rPr>
        <w:t>передабачає</w:t>
      </w:r>
      <w:r w:rsidR="00E568A1" w:rsidRPr="00751E02">
        <w:rPr>
          <w:rFonts w:ascii="Arial" w:hAnsi="Arial" w:cs="Arial"/>
          <w:color w:val="000000"/>
          <w:lang w:val="uk-UA"/>
        </w:rPr>
        <w:t xml:space="preserve"> в</w:t>
      </w:r>
      <w:r>
        <w:rPr>
          <w:rFonts w:ascii="Arial" w:hAnsi="Arial" w:cs="Arial"/>
          <w:color w:val="000000"/>
          <w:lang w:val="uk-UA"/>
        </w:rPr>
        <w:t>ідповідальність за надання</w:t>
      </w:r>
      <w:r w:rsidR="00E568A1" w:rsidRPr="00751E02">
        <w:rPr>
          <w:rFonts w:ascii="Arial" w:hAnsi="Arial" w:cs="Arial"/>
          <w:color w:val="000000"/>
          <w:lang w:val="uk-UA"/>
        </w:rPr>
        <w:t xml:space="preserve"> конкретних рекомендацій стосов</w:t>
      </w:r>
      <w:r>
        <w:rPr>
          <w:rFonts w:ascii="Arial" w:hAnsi="Arial" w:cs="Arial"/>
          <w:color w:val="000000"/>
          <w:lang w:val="uk-UA"/>
        </w:rPr>
        <w:t xml:space="preserve">но умов </w:t>
      </w:r>
      <w:r w:rsidR="007D3500">
        <w:rPr>
          <w:rFonts w:ascii="Arial" w:hAnsi="Arial" w:cs="Arial"/>
          <w:color w:val="000000"/>
          <w:lang w:val="uk-UA"/>
        </w:rPr>
        <w:t>застосування</w:t>
      </w:r>
      <w:r w:rsidR="0017399F">
        <w:rPr>
          <w:rFonts w:ascii="Arial" w:hAnsi="Arial" w:cs="Arial"/>
          <w:color w:val="000000"/>
          <w:lang w:val="uk-UA"/>
        </w:rPr>
        <w:t xml:space="preserve"> препарату, включаючи надання інфомації щодо наразі доступних обмежених даних</w:t>
      </w:r>
      <w:r w:rsidR="00E568A1" w:rsidRPr="00751E02">
        <w:rPr>
          <w:rFonts w:ascii="Arial" w:hAnsi="Arial" w:cs="Arial"/>
          <w:color w:val="000000"/>
          <w:lang w:val="uk-UA"/>
        </w:rPr>
        <w:t>.</w:t>
      </w:r>
    </w:p>
    <w:p w14:paraId="3FEBAB71" w14:textId="77777777" w:rsidR="00E568A1" w:rsidRPr="00751E02" w:rsidRDefault="00E568A1" w:rsidP="0037724F">
      <w:pPr>
        <w:autoSpaceDE w:val="0"/>
        <w:autoSpaceDN w:val="0"/>
        <w:adjustRightInd w:val="0"/>
        <w:spacing w:after="0" w:line="240" w:lineRule="auto"/>
        <w:jc w:val="both"/>
        <w:rPr>
          <w:rFonts w:ascii="Arial" w:hAnsi="Arial" w:cs="Arial"/>
          <w:color w:val="000000"/>
          <w:lang w:val="uk-UA"/>
        </w:rPr>
      </w:pPr>
    </w:p>
    <w:p w14:paraId="4F1CE7E4" w14:textId="6FBC207F" w:rsidR="00E568A1" w:rsidRPr="00617777" w:rsidRDefault="00AD1F3D" w:rsidP="0037724F">
      <w:pPr>
        <w:autoSpaceDE w:val="0"/>
        <w:autoSpaceDN w:val="0"/>
        <w:adjustRightInd w:val="0"/>
        <w:spacing w:after="0" w:line="240" w:lineRule="auto"/>
        <w:jc w:val="both"/>
        <w:rPr>
          <w:rFonts w:ascii="Arial" w:hAnsi="Arial" w:cs="Arial"/>
          <w:bCs/>
          <w:color w:val="000000"/>
          <w:szCs w:val="28"/>
          <w:lang w:val="uk-UA"/>
        </w:rPr>
      </w:pPr>
      <w:r>
        <w:rPr>
          <w:rFonts w:ascii="Arial" w:hAnsi="Arial" w:cs="Arial"/>
          <w:bCs/>
          <w:color w:val="000000"/>
        </w:rPr>
        <w:t>Крім того, ВООЗ</w:t>
      </w:r>
      <w:r w:rsidR="008B63B2">
        <w:rPr>
          <w:rFonts w:ascii="Arial" w:hAnsi="Arial" w:cs="Arial"/>
          <w:bCs/>
          <w:color w:val="000000"/>
        </w:rPr>
        <w:t xml:space="preserve"> </w:t>
      </w:r>
      <w:r>
        <w:rPr>
          <w:rFonts w:ascii="Arial" w:hAnsi="Arial" w:cs="Arial"/>
          <w:bCs/>
          <w:color w:val="000000"/>
        </w:rPr>
        <w:t>повинна розглядати, переглядати</w:t>
      </w:r>
      <w:r w:rsidR="008B63B2">
        <w:rPr>
          <w:rFonts w:ascii="Arial" w:hAnsi="Arial" w:cs="Arial"/>
          <w:bCs/>
          <w:color w:val="000000"/>
        </w:rPr>
        <w:t xml:space="preserve"> та/</w:t>
      </w:r>
      <w:r>
        <w:rPr>
          <w:rFonts w:ascii="Arial" w:hAnsi="Arial" w:cs="Arial"/>
          <w:bCs/>
          <w:color w:val="000000"/>
        </w:rPr>
        <w:t>або оновлювати тимчасові рекомендації щойно стають</w:t>
      </w:r>
      <w:r w:rsidR="00E241E3">
        <w:rPr>
          <w:rFonts w:ascii="Arial" w:hAnsi="Arial" w:cs="Arial"/>
          <w:bCs/>
          <w:color w:val="000000"/>
        </w:rPr>
        <w:t xml:space="preserve"> доступ</w:t>
      </w:r>
      <w:r>
        <w:rPr>
          <w:rFonts w:ascii="Arial" w:hAnsi="Arial" w:cs="Arial"/>
          <w:bCs/>
          <w:color w:val="000000"/>
        </w:rPr>
        <w:t xml:space="preserve">ними будь-які додаткові </w:t>
      </w:r>
      <w:r w:rsidR="00E568A1" w:rsidRPr="00FD667F">
        <w:rPr>
          <w:rFonts w:ascii="Arial" w:hAnsi="Arial" w:cs="Arial"/>
          <w:bCs/>
          <w:color w:val="000000"/>
        </w:rPr>
        <w:t>дані про ефективність та безпеку</w:t>
      </w:r>
      <w:r>
        <w:rPr>
          <w:rFonts w:ascii="Arial" w:hAnsi="Arial" w:cs="Arial"/>
          <w:bCs/>
          <w:color w:val="000000"/>
        </w:rPr>
        <w:t xml:space="preserve"> лікарського засобу</w:t>
      </w:r>
      <w:r w:rsidR="00E568A1" w:rsidRPr="00FD667F">
        <w:rPr>
          <w:rFonts w:ascii="Arial" w:hAnsi="Arial" w:cs="Arial"/>
          <w:bCs/>
          <w:color w:val="000000"/>
        </w:rPr>
        <w:t xml:space="preserve">. </w:t>
      </w:r>
      <w:r>
        <w:rPr>
          <w:rFonts w:ascii="Arial" w:hAnsi="Arial" w:cs="Arial"/>
          <w:bCs/>
          <w:color w:val="000000"/>
        </w:rPr>
        <w:t xml:space="preserve">Прискорення дослідження на </w:t>
      </w:r>
      <w:r w:rsidR="00E568A1" w:rsidRPr="00FD667F">
        <w:rPr>
          <w:rFonts w:ascii="Arial" w:hAnsi="Arial" w:cs="Arial"/>
          <w:bCs/>
          <w:color w:val="000000"/>
          <w:lang w:val="en-US"/>
        </w:rPr>
        <w:t>III</w:t>
      </w:r>
      <w:r w:rsidR="00E568A1" w:rsidRPr="00FD667F">
        <w:rPr>
          <w:rFonts w:ascii="Arial" w:hAnsi="Arial" w:cs="Arial"/>
          <w:bCs/>
          <w:color w:val="000000"/>
        </w:rPr>
        <w:t xml:space="preserve"> </w:t>
      </w:r>
      <w:r>
        <w:rPr>
          <w:rFonts w:ascii="Arial" w:hAnsi="Arial" w:cs="Arial"/>
          <w:bCs/>
          <w:color w:val="000000"/>
        </w:rPr>
        <w:t xml:space="preserve">фазі </w:t>
      </w:r>
      <w:r w:rsidR="00E241E3">
        <w:rPr>
          <w:rFonts w:ascii="Arial" w:hAnsi="Arial" w:cs="Arial"/>
          <w:bCs/>
          <w:color w:val="000000"/>
        </w:rPr>
        <w:t>та його завершення якомога скоріше є важливим</w:t>
      </w:r>
      <w:r w:rsidR="00E568A1" w:rsidRPr="00FD667F">
        <w:rPr>
          <w:rFonts w:ascii="Arial" w:hAnsi="Arial" w:cs="Arial"/>
          <w:bCs/>
          <w:color w:val="000000"/>
        </w:rPr>
        <w:t xml:space="preserve">, </w:t>
      </w:r>
      <w:r w:rsidR="00E241E3">
        <w:rPr>
          <w:rFonts w:ascii="Arial" w:hAnsi="Arial" w:cs="Arial"/>
          <w:bCs/>
          <w:color w:val="000000"/>
        </w:rPr>
        <w:t xml:space="preserve">так само </w:t>
      </w:r>
      <w:r w:rsidR="00E568A1" w:rsidRPr="00FD667F">
        <w:rPr>
          <w:rFonts w:ascii="Arial" w:hAnsi="Arial" w:cs="Arial"/>
          <w:bCs/>
          <w:color w:val="000000"/>
        </w:rPr>
        <w:t>як і своєчасний аналіз но</w:t>
      </w:r>
      <w:r w:rsidR="00E241E3">
        <w:rPr>
          <w:rFonts w:ascii="Arial" w:hAnsi="Arial" w:cs="Arial"/>
          <w:bCs/>
          <w:color w:val="000000"/>
        </w:rPr>
        <w:t>вих оперативних даних про застосув</w:t>
      </w:r>
      <w:r w:rsidR="00E568A1" w:rsidRPr="00FD667F">
        <w:rPr>
          <w:rFonts w:ascii="Arial" w:hAnsi="Arial" w:cs="Arial"/>
          <w:bCs/>
          <w:color w:val="000000"/>
        </w:rPr>
        <w:t>ання препарату.</w:t>
      </w:r>
      <w:r w:rsidR="00E568A1">
        <w:rPr>
          <w:rFonts w:ascii="Arial" w:hAnsi="Arial" w:cs="Arial"/>
          <w:bCs/>
          <w:color w:val="000000"/>
          <w:lang w:val="uk-UA"/>
        </w:rPr>
        <w:t xml:space="preserve"> </w:t>
      </w:r>
      <w:r w:rsidR="00E568A1" w:rsidRPr="00617777">
        <w:rPr>
          <w:rFonts w:ascii="Arial" w:hAnsi="Arial" w:cs="Arial"/>
          <w:bCs/>
          <w:color w:val="000000"/>
          <w:lang w:val="uk-UA"/>
        </w:rPr>
        <w:t>Слід також зазначити, що за відсутності тимчасових рекомендацій ВОО</w:t>
      </w:r>
      <w:r w:rsidR="00E241E3">
        <w:rPr>
          <w:rFonts w:ascii="Arial" w:hAnsi="Arial" w:cs="Arial"/>
          <w:bCs/>
          <w:color w:val="000000"/>
          <w:lang w:val="uk-UA"/>
        </w:rPr>
        <w:t xml:space="preserve">З, неконтрольоване і </w:t>
      </w:r>
      <w:r w:rsidR="00E568A1" w:rsidRPr="00617777">
        <w:rPr>
          <w:rFonts w:ascii="Arial" w:hAnsi="Arial" w:cs="Arial"/>
          <w:bCs/>
          <w:color w:val="000000"/>
          <w:lang w:val="uk-UA"/>
        </w:rPr>
        <w:t xml:space="preserve">безвідповідальне застосування цього препарату може негативно впливати на лікування ТБ та </w:t>
      </w:r>
      <w:r w:rsidR="00E241E3">
        <w:rPr>
          <w:rFonts w:ascii="Arial" w:hAnsi="Arial" w:cs="Arial"/>
          <w:bCs/>
          <w:color w:val="000000"/>
          <w:lang w:val="uk-UA"/>
        </w:rPr>
        <w:t>загальні зусилля, які докладаються у боротьбі</w:t>
      </w:r>
      <w:r w:rsidR="00E568A1" w:rsidRPr="00617777">
        <w:rPr>
          <w:rFonts w:ascii="Arial" w:hAnsi="Arial" w:cs="Arial"/>
          <w:bCs/>
          <w:color w:val="000000"/>
          <w:lang w:val="uk-UA"/>
        </w:rPr>
        <w:t xml:space="preserve"> з </w:t>
      </w:r>
      <w:r w:rsidR="00E241E3">
        <w:rPr>
          <w:rFonts w:ascii="Arial" w:hAnsi="Arial" w:cs="Arial"/>
          <w:bCs/>
          <w:color w:val="000000"/>
          <w:lang w:val="uk-UA"/>
        </w:rPr>
        <w:t>ТБ</w:t>
      </w:r>
      <w:r w:rsidR="00E568A1" w:rsidRPr="00617777">
        <w:rPr>
          <w:rFonts w:ascii="Arial" w:hAnsi="Arial" w:cs="Arial"/>
          <w:bCs/>
          <w:color w:val="000000"/>
          <w:lang w:val="uk-UA"/>
        </w:rPr>
        <w:t xml:space="preserve"> в цілому - потенційно це може спричинити виникнення резистентності до бедаквіліну та можливу втрату першого нового хіміотерапевтичного </w:t>
      </w:r>
      <w:r w:rsidR="00E241E3" w:rsidRPr="00617777">
        <w:rPr>
          <w:rFonts w:ascii="Arial" w:hAnsi="Arial" w:cs="Arial"/>
          <w:bCs/>
          <w:color w:val="000000"/>
          <w:lang w:val="uk-UA"/>
        </w:rPr>
        <w:t xml:space="preserve">ТБ </w:t>
      </w:r>
      <w:r w:rsidR="00E568A1" w:rsidRPr="00617777">
        <w:rPr>
          <w:rFonts w:ascii="Arial" w:hAnsi="Arial" w:cs="Arial"/>
          <w:bCs/>
          <w:color w:val="000000"/>
          <w:lang w:val="uk-UA"/>
        </w:rPr>
        <w:t xml:space="preserve">препарату </w:t>
      </w:r>
      <w:r w:rsidR="00E568A1">
        <w:rPr>
          <w:rFonts w:ascii="Arial" w:hAnsi="Arial" w:cs="Arial"/>
          <w:bCs/>
          <w:color w:val="000000"/>
          <w:lang w:val="uk-UA"/>
        </w:rPr>
        <w:t>за останні більш ніж</w:t>
      </w:r>
      <w:r w:rsidR="00E568A1" w:rsidRPr="00617777">
        <w:rPr>
          <w:rFonts w:ascii="Arial" w:hAnsi="Arial" w:cs="Arial"/>
          <w:bCs/>
          <w:color w:val="000000"/>
          <w:lang w:val="uk-UA"/>
        </w:rPr>
        <w:t xml:space="preserve"> 40 років.</w:t>
      </w:r>
    </w:p>
    <w:p w14:paraId="22F8E781" w14:textId="77777777" w:rsidR="00A60AE1" w:rsidRDefault="00A60AE1" w:rsidP="0037724F">
      <w:pPr>
        <w:autoSpaceDE w:val="0"/>
        <w:autoSpaceDN w:val="0"/>
        <w:adjustRightInd w:val="0"/>
        <w:spacing w:after="0" w:line="240" w:lineRule="auto"/>
        <w:jc w:val="both"/>
        <w:rPr>
          <w:rFonts w:ascii="Arial" w:hAnsi="Arial" w:cs="Arial"/>
          <w:b/>
          <w:bCs/>
          <w:color w:val="000000"/>
          <w:sz w:val="28"/>
          <w:szCs w:val="28"/>
          <w:lang w:val="uk-UA"/>
        </w:rPr>
      </w:pPr>
    </w:p>
    <w:p w14:paraId="41D5F2E4" w14:textId="77777777" w:rsidR="00A60AE1" w:rsidRDefault="00A60AE1" w:rsidP="0037724F">
      <w:pPr>
        <w:autoSpaceDE w:val="0"/>
        <w:autoSpaceDN w:val="0"/>
        <w:adjustRightInd w:val="0"/>
        <w:spacing w:after="0" w:line="240" w:lineRule="auto"/>
        <w:jc w:val="both"/>
        <w:rPr>
          <w:rFonts w:ascii="Arial" w:hAnsi="Arial" w:cs="Arial"/>
          <w:b/>
          <w:bCs/>
          <w:color w:val="000000"/>
          <w:sz w:val="28"/>
          <w:szCs w:val="28"/>
          <w:lang w:val="uk-UA"/>
        </w:rPr>
      </w:pPr>
    </w:p>
    <w:p w14:paraId="47D3E30E" w14:textId="77777777" w:rsidR="00A60AE1" w:rsidRDefault="00A60AE1" w:rsidP="0037724F">
      <w:pPr>
        <w:autoSpaceDE w:val="0"/>
        <w:autoSpaceDN w:val="0"/>
        <w:adjustRightInd w:val="0"/>
        <w:spacing w:after="0" w:line="240" w:lineRule="auto"/>
        <w:jc w:val="both"/>
        <w:rPr>
          <w:rFonts w:ascii="Arial" w:hAnsi="Arial" w:cs="Arial"/>
          <w:b/>
          <w:bCs/>
          <w:color w:val="000000"/>
          <w:sz w:val="28"/>
          <w:szCs w:val="28"/>
          <w:lang w:val="uk-UA"/>
        </w:rPr>
      </w:pPr>
    </w:p>
    <w:p w14:paraId="26BA5BD7" w14:textId="77777777" w:rsidR="00A60AE1" w:rsidRDefault="00A60AE1" w:rsidP="0037724F">
      <w:pPr>
        <w:autoSpaceDE w:val="0"/>
        <w:autoSpaceDN w:val="0"/>
        <w:adjustRightInd w:val="0"/>
        <w:spacing w:after="0" w:line="240" w:lineRule="auto"/>
        <w:jc w:val="both"/>
        <w:rPr>
          <w:rFonts w:ascii="Arial" w:hAnsi="Arial" w:cs="Arial"/>
          <w:b/>
          <w:bCs/>
          <w:color w:val="000000"/>
          <w:sz w:val="28"/>
          <w:szCs w:val="28"/>
          <w:lang w:val="uk-UA"/>
        </w:rPr>
      </w:pPr>
    </w:p>
    <w:p w14:paraId="704C8CCD" w14:textId="77777777" w:rsidR="009B51D9" w:rsidRDefault="009B51D9" w:rsidP="0037724F">
      <w:pPr>
        <w:autoSpaceDE w:val="0"/>
        <w:autoSpaceDN w:val="0"/>
        <w:adjustRightInd w:val="0"/>
        <w:spacing w:after="0" w:line="240" w:lineRule="auto"/>
        <w:jc w:val="both"/>
        <w:rPr>
          <w:rFonts w:ascii="Arial" w:hAnsi="Arial" w:cs="Arial"/>
          <w:b/>
          <w:bCs/>
          <w:color w:val="000000"/>
          <w:sz w:val="28"/>
          <w:szCs w:val="28"/>
        </w:rPr>
      </w:pPr>
    </w:p>
    <w:p w14:paraId="56621315" w14:textId="0A86D1AE" w:rsidR="00E568A1" w:rsidRPr="00A32EE6" w:rsidRDefault="00E568A1" w:rsidP="0037724F">
      <w:pPr>
        <w:autoSpaceDE w:val="0"/>
        <w:autoSpaceDN w:val="0"/>
        <w:adjustRightInd w:val="0"/>
        <w:spacing w:after="0" w:line="240" w:lineRule="auto"/>
        <w:jc w:val="both"/>
        <w:rPr>
          <w:rFonts w:ascii="Arial" w:hAnsi="Arial" w:cs="Arial"/>
          <w:b/>
          <w:bCs/>
          <w:color w:val="6A2041"/>
          <w:sz w:val="28"/>
          <w:szCs w:val="28"/>
          <w:lang w:val="uk-UA"/>
        </w:rPr>
      </w:pPr>
      <w:r w:rsidRPr="00A32EE6">
        <w:rPr>
          <w:rFonts w:ascii="Arial" w:hAnsi="Arial" w:cs="Arial"/>
          <w:b/>
          <w:bCs/>
          <w:color w:val="6A2041"/>
          <w:sz w:val="28"/>
          <w:szCs w:val="28"/>
        </w:rPr>
        <w:lastRenderedPageBreak/>
        <w:t xml:space="preserve">Цілі, обґрунтування та методи, </w:t>
      </w:r>
      <w:r w:rsidR="00CD7A36" w:rsidRPr="00A32EE6">
        <w:rPr>
          <w:rFonts w:ascii="Arial" w:hAnsi="Arial" w:cs="Arial"/>
          <w:b/>
          <w:bCs/>
          <w:color w:val="6A2041"/>
          <w:sz w:val="28"/>
          <w:szCs w:val="28"/>
        </w:rPr>
        <w:t xml:space="preserve">які </w:t>
      </w:r>
      <w:r w:rsidR="00DD42CC" w:rsidRPr="00A32EE6">
        <w:rPr>
          <w:rFonts w:ascii="Arial" w:hAnsi="Arial" w:cs="Arial"/>
          <w:b/>
          <w:bCs/>
          <w:color w:val="6A2041"/>
          <w:sz w:val="28"/>
          <w:szCs w:val="28"/>
        </w:rPr>
        <w:t>використову</w:t>
      </w:r>
      <w:r w:rsidR="00CD7A36" w:rsidRPr="00A32EE6">
        <w:rPr>
          <w:rFonts w:ascii="Arial" w:hAnsi="Arial" w:cs="Arial"/>
          <w:b/>
          <w:bCs/>
          <w:color w:val="6A2041"/>
          <w:sz w:val="28"/>
          <w:szCs w:val="28"/>
        </w:rPr>
        <w:t>валися</w:t>
      </w:r>
      <w:r w:rsidRPr="00A32EE6">
        <w:rPr>
          <w:rFonts w:ascii="Arial" w:hAnsi="Arial" w:cs="Arial"/>
          <w:b/>
          <w:bCs/>
          <w:color w:val="6A2041"/>
          <w:sz w:val="28"/>
          <w:szCs w:val="28"/>
        </w:rPr>
        <w:t xml:space="preserve"> для</w:t>
      </w:r>
      <w:r w:rsidR="00CD7A36" w:rsidRPr="00A32EE6">
        <w:rPr>
          <w:rFonts w:ascii="Arial" w:hAnsi="Arial" w:cs="Arial"/>
          <w:b/>
          <w:bCs/>
          <w:color w:val="6A2041"/>
          <w:sz w:val="28"/>
          <w:szCs w:val="28"/>
        </w:rPr>
        <w:t xml:space="preserve"> розробки даних рекомендацій</w:t>
      </w:r>
    </w:p>
    <w:p w14:paraId="6A9A5744" w14:textId="77777777" w:rsidR="00D81B66" w:rsidRDefault="00D81B66" w:rsidP="00511D5F">
      <w:pPr>
        <w:autoSpaceDE w:val="0"/>
        <w:autoSpaceDN w:val="0"/>
        <w:adjustRightInd w:val="0"/>
        <w:spacing w:after="0" w:line="240" w:lineRule="auto"/>
        <w:jc w:val="both"/>
        <w:rPr>
          <w:rFonts w:ascii="Arial" w:hAnsi="Arial" w:cs="Arial"/>
          <w:b/>
          <w:bCs/>
          <w:color w:val="000000"/>
          <w:sz w:val="28"/>
          <w:szCs w:val="28"/>
          <w:lang w:val="uk-UA"/>
        </w:rPr>
      </w:pPr>
    </w:p>
    <w:p w14:paraId="38DE8F1C" w14:textId="10BF466E" w:rsidR="00E568A1" w:rsidRPr="00E56642" w:rsidRDefault="00E568A1" w:rsidP="00511D5F">
      <w:pPr>
        <w:autoSpaceDE w:val="0"/>
        <w:autoSpaceDN w:val="0"/>
        <w:adjustRightInd w:val="0"/>
        <w:spacing w:after="0" w:line="240" w:lineRule="auto"/>
        <w:jc w:val="both"/>
        <w:rPr>
          <w:rFonts w:ascii="Arial" w:hAnsi="Arial" w:cs="Arial"/>
          <w:color w:val="000000"/>
          <w:lang w:val="uk-UA"/>
        </w:rPr>
      </w:pPr>
      <w:r w:rsidRPr="00E56642">
        <w:rPr>
          <w:rFonts w:ascii="Arial" w:hAnsi="Arial" w:cs="Arial"/>
          <w:color w:val="000000"/>
          <w:lang w:val="uk-UA"/>
        </w:rPr>
        <w:t xml:space="preserve">Цей документ містить тимчасові </w:t>
      </w:r>
      <w:r>
        <w:rPr>
          <w:rFonts w:ascii="Arial" w:hAnsi="Arial" w:cs="Arial"/>
          <w:color w:val="000000"/>
          <w:lang w:val="uk-UA"/>
        </w:rPr>
        <w:t>рекомендації</w:t>
      </w:r>
      <w:r w:rsidRPr="00E56642">
        <w:rPr>
          <w:rFonts w:ascii="Arial" w:hAnsi="Arial" w:cs="Arial"/>
          <w:color w:val="000000"/>
          <w:lang w:val="uk-UA"/>
        </w:rPr>
        <w:t xml:space="preserve"> щодо застосування бедаквіліну у поєднанні з інши</w:t>
      </w:r>
      <w:r w:rsidR="00013FDF">
        <w:rPr>
          <w:rFonts w:ascii="Arial" w:hAnsi="Arial" w:cs="Arial"/>
          <w:color w:val="000000"/>
          <w:lang w:val="uk-UA"/>
        </w:rPr>
        <w:t>ми рекомендованими ВООЗ режимами</w:t>
      </w:r>
      <w:r w:rsidRPr="00E56642">
        <w:rPr>
          <w:rFonts w:ascii="Arial" w:hAnsi="Arial" w:cs="Arial"/>
          <w:color w:val="000000"/>
          <w:lang w:val="uk-UA"/>
        </w:rPr>
        <w:t xml:space="preserve"> лікування</w:t>
      </w:r>
      <w:r>
        <w:rPr>
          <w:rFonts w:ascii="Arial" w:hAnsi="Arial" w:cs="Arial"/>
          <w:color w:val="000000"/>
          <w:lang w:val="uk-UA"/>
        </w:rPr>
        <w:t xml:space="preserve"> </w:t>
      </w:r>
      <w:r w:rsidR="00013FDF">
        <w:rPr>
          <w:rFonts w:ascii="Arial" w:hAnsi="Arial" w:cs="Arial"/>
          <w:color w:val="000000"/>
          <w:lang w:val="uk-UA"/>
        </w:rPr>
        <w:t xml:space="preserve">МР </w:t>
      </w:r>
      <w:r w:rsidR="009B51D9">
        <w:rPr>
          <w:rFonts w:ascii="Arial" w:hAnsi="Arial" w:cs="Arial"/>
          <w:color w:val="000000"/>
          <w:lang w:val="uk-UA"/>
        </w:rPr>
        <w:t>ТБ</w:t>
      </w:r>
      <w:r w:rsidRPr="00E56642">
        <w:rPr>
          <w:rFonts w:ascii="Arial" w:hAnsi="Arial" w:cs="Arial"/>
          <w:color w:val="000000"/>
          <w:lang w:val="uk-UA"/>
        </w:rPr>
        <w:t>. В ньому також зазна</w:t>
      </w:r>
      <w:r w:rsidR="00013FDF">
        <w:rPr>
          <w:rFonts w:ascii="Arial" w:hAnsi="Arial" w:cs="Arial"/>
          <w:color w:val="000000"/>
          <w:lang w:val="uk-UA"/>
        </w:rPr>
        <w:t>чені основні умови та режими лікування цим препаратом</w:t>
      </w:r>
      <w:r w:rsidRPr="00E56642">
        <w:rPr>
          <w:rFonts w:ascii="Arial" w:hAnsi="Arial" w:cs="Arial"/>
          <w:color w:val="000000"/>
          <w:lang w:val="uk-UA"/>
        </w:rPr>
        <w:t>. Основні аудиторії - це національні програми боротьби з туб</w:t>
      </w:r>
      <w:r w:rsidR="00013FDF">
        <w:rPr>
          <w:rFonts w:ascii="Arial" w:hAnsi="Arial" w:cs="Arial"/>
          <w:color w:val="000000"/>
          <w:lang w:val="uk-UA"/>
        </w:rPr>
        <w:t xml:space="preserve">еркульозом (НТП), інші агенції </w:t>
      </w:r>
      <w:r w:rsidRPr="00E56642">
        <w:rPr>
          <w:rFonts w:ascii="Arial" w:hAnsi="Arial" w:cs="Arial"/>
          <w:color w:val="000000"/>
          <w:lang w:val="uk-UA"/>
        </w:rPr>
        <w:t>громадської охорони зд</w:t>
      </w:r>
      <w:r>
        <w:rPr>
          <w:rFonts w:ascii="Arial" w:hAnsi="Arial" w:cs="Arial"/>
          <w:color w:val="000000"/>
          <w:lang w:val="uk-UA"/>
        </w:rPr>
        <w:t>оров'я та інші державні і</w:t>
      </w:r>
      <w:r w:rsidRPr="00E56642">
        <w:rPr>
          <w:rFonts w:ascii="Arial" w:hAnsi="Arial" w:cs="Arial"/>
          <w:color w:val="000000"/>
          <w:lang w:val="uk-UA"/>
        </w:rPr>
        <w:t xml:space="preserve"> приватні партнери, які беруть участь у плануванні, здійсн</w:t>
      </w:r>
      <w:r w:rsidR="00013FDF">
        <w:rPr>
          <w:rFonts w:ascii="Arial" w:hAnsi="Arial" w:cs="Arial"/>
          <w:color w:val="000000"/>
          <w:lang w:val="uk-UA"/>
        </w:rPr>
        <w:t>енні та моніторингу діяльності щодо</w:t>
      </w:r>
      <w:r w:rsidRPr="00E56642">
        <w:rPr>
          <w:rFonts w:ascii="Arial" w:hAnsi="Arial" w:cs="Arial"/>
          <w:color w:val="000000"/>
          <w:lang w:val="uk-UA"/>
        </w:rPr>
        <w:t xml:space="preserve"> </w:t>
      </w:r>
      <w:r w:rsidR="00013FDF">
        <w:rPr>
          <w:rFonts w:ascii="Arial" w:hAnsi="Arial" w:cs="Arial"/>
          <w:color w:val="000000"/>
          <w:lang w:val="uk-UA"/>
        </w:rPr>
        <w:t xml:space="preserve">боротьби з </w:t>
      </w:r>
      <w:r w:rsidR="009B51D9">
        <w:rPr>
          <w:rFonts w:ascii="Arial" w:hAnsi="Arial" w:cs="Arial"/>
          <w:color w:val="000000"/>
          <w:lang w:val="uk-UA"/>
        </w:rPr>
        <w:t>МР ТБ</w:t>
      </w:r>
      <w:r w:rsidRPr="00E56642">
        <w:rPr>
          <w:rFonts w:ascii="Arial" w:hAnsi="Arial" w:cs="Arial"/>
          <w:color w:val="000000"/>
          <w:lang w:val="uk-UA"/>
        </w:rPr>
        <w:t>. Принципи та рекомендації також актуальні для спеціалістів-клініцистів, технічних радників, лаборантів, менеджерів із закупівель ліків, інш</w:t>
      </w:r>
      <w:r w:rsidR="00621BFE">
        <w:rPr>
          <w:rFonts w:ascii="Arial" w:hAnsi="Arial" w:cs="Arial"/>
          <w:color w:val="000000"/>
          <w:lang w:val="uk-UA"/>
        </w:rPr>
        <w:t xml:space="preserve">их постачальників послуг, </w:t>
      </w:r>
      <w:r w:rsidRPr="00E56642">
        <w:rPr>
          <w:rFonts w:ascii="Arial" w:hAnsi="Arial" w:cs="Arial"/>
          <w:color w:val="000000"/>
          <w:lang w:val="uk-UA"/>
        </w:rPr>
        <w:t>відповідних державних службовців та партнерів-виконавців, які беруть участь у</w:t>
      </w:r>
      <w:r w:rsidR="00EF0DD0">
        <w:rPr>
          <w:rFonts w:ascii="Arial" w:hAnsi="Arial" w:cs="Arial"/>
          <w:color w:val="000000"/>
          <w:lang w:val="uk-UA"/>
        </w:rPr>
        <w:t xml:space="preserve"> зміцненні послуг</w:t>
      </w:r>
      <w:r w:rsidRPr="00E56642">
        <w:rPr>
          <w:rFonts w:ascii="Arial" w:hAnsi="Arial" w:cs="Arial"/>
          <w:color w:val="000000"/>
          <w:lang w:val="uk-UA"/>
        </w:rPr>
        <w:t xml:space="preserve"> </w:t>
      </w:r>
      <w:r w:rsidR="00EF0DD0">
        <w:rPr>
          <w:rFonts w:ascii="Arial" w:hAnsi="Arial" w:cs="Arial"/>
          <w:color w:val="000000"/>
          <w:lang w:val="uk-UA"/>
        </w:rPr>
        <w:t>лікування МР ТБ</w:t>
      </w:r>
      <w:r w:rsidRPr="00E56642">
        <w:rPr>
          <w:rFonts w:ascii="Arial" w:hAnsi="Arial" w:cs="Arial"/>
          <w:color w:val="000000"/>
          <w:lang w:val="uk-UA"/>
        </w:rPr>
        <w:t xml:space="preserve"> на рівні країни. Особи, відповідальні за планування програм, бюджетування, мобілізацію ресурсів та навчання </w:t>
      </w:r>
      <w:r w:rsidR="00EF0DD0">
        <w:rPr>
          <w:rFonts w:ascii="Arial" w:hAnsi="Arial" w:cs="Arial"/>
          <w:color w:val="000000"/>
          <w:lang w:val="uk-UA"/>
        </w:rPr>
        <w:t>співробітників діагностичних центрів МР ТБ</w:t>
      </w:r>
      <w:r w:rsidRPr="00E56642">
        <w:rPr>
          <w:rFonts w:ascii="Arial" w:hAnsi="Arial" w:cs="Arial"/>
          <w:color w:val="000000"/>
          <w:lang w:val="uk-UA"/>
        </w:rPr>
        <w:t>,</w:t>
      </w:r>
      <w:r w:rsidR="00EF0DD0">
        <w:rPr>
          <w:rFonts w:ascii="Arial" w:hAnsi="Arial" w:cs="Arial"/>
          <w:color w:val="000000"/>
          <w:lang w:val="uk-UA"/>
        </w:rPr>
        <w:t xml:space="preserve"> також можуть скористатися цими рекомендаціями</w:t>
      </w:r>
      <w:r w:rsidRPr="00E56642">
        <w:rPr>
          <w:rFonts w:ascii="Arial" w:hAnsi="Arial" w:cs="Arial"/>
          <w:color w:val="000000"/>
          <w:lang w:val="uk-UA"/>
        </w:rPr>
        <w:t>.</w:t>
      </w:r>
    </w:p>
    <w:p w14:paraId="4D24FAD0" w14:textId="77777777" w:rsidR="00E568A1" w:rsidRPr="000E2459"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1EB6EF02" w14:textId="448525DC" w:rsidR="00E568A1" w:rsidRPr="00E56642" w:rsidRDefault="000C00A2"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З</w:t>
      </w:r>
      <w:r w:rsidRPr="00E56642">
        <w:rPr>
          <w:rFonts w:ascii="Arial" w:hAnsi="Arial" w:cs="Arial"/>
          <w:color w:val="000000"/>
          <w:lang w:val="uk-UA"/>
        </w:rPr>
        <w:t xml:space="preserve"> 29 по 30 січня 2013</w:t>
      </w:r>
      <w:r>
        <w:rPr>
          <w:rFonts w:ascii="Arial" w:hAnsi="Arial" w:cs="Arial"/>
          <w:color w:val="000000"/>
          <w:lang w:val="uk-UA"/>
        </w:rPr>
        <w:t xml:space="preserve"> у Женеві працювала скликана</w:t>
      </w:r>
      <w:r w:rsidRPr="00E56642">
        <w:rPr>
          <w:rFonts w:ascii="Arial" w:hAnsi="Arial" w:cs="Arial"/>
          <w:color w:val="000000"/>
          <w:lang w:val="uk-UA"/>
        </w:rPr>
        <w:t xml:space="preserve"> </w:t>
      </w:r>
      <w:r w:rsidR="002906D9">
        <w:rPr>
          <w:rFonts w:ascii="Arial" w:hAnsi="Arial" w:cs="Arial"/>
          <w:color w:val="000000"/>
          <w:lang w:val="uk-UA"/>
        </w:rPr>
        <w:t>Відділ</w:t>
      </w:r>
      <w:r>
        <w:rPr>
          <w:rFonts w:ascii="Arial" w:hAnsi="Arial" w:cs="Arial"/>
          <w:color w:val="000000"/>
          <w:lang w:val="uk-UA"/>
        </w:rPr>
        <w:t>ом</w:t>
      </w:r>
      <w:r w:rsidR="00E568A1">
        <w:rPr>
          <w:rFonts w:ascii="Arial" w:hAnsi="Arial" w:cs="Arial"/>
          <w:color w:val="000000"/>
          <w:lang w:val="uk-UA"/>
        </w:rPr>
        <w:t xml:space="preserve"> </w:t>
      </w:r>
      <w:r>
        <w:rPr>
          <w:rFonts w:ascii="Arial" w:hAnsi="Arial" w:cs="Arial"/>
          <w:color w:val="000000"/>
          <w:lang w:val="uk-UA"/>
        </w:rPr>
        <w:t>ВООЗ "Стоп ТБ",</w:t>
      </w:r>
      <w:r w:rsidR="00E568A1" w:rsidRPr="00E56642">
        <w:rPr>
          <w:rFonts w:ascii="Arial" w:hAnsi="Arial" w:cs="Arial"/>
          <w:color w:val="000000"/>
          <w:lang w:val="uk-UA"/>
        </w:rPr>
        <w:t xml:space="preserve"> </w:t>
      </w:r>
      <w:r w:rsidR="00A14CF6">
        <w:rPr>
          <w:rFonts w:ascii="Arial" w:hAnsi="Arial" w:cs="Arial"/>
          <w:color w:val="000000"/>
          <w:lang w:val="uk-UA"/>
        </w:rPr>
        <w:t>Експертна</w:t>
      </w:r>
      <w:r w:rsidR="00162777">
        <w:rPr>
          <w:rFonts w:ascii="Arial" w:hAnsi="Arial" w:cs="Arial"/>
          <w:color w:val="000000"/>
          <w:lang w:val="uk-UA"/>
        </w:rPr>
        <w:t xml:space="preserve"> Груп</w:t>
      </w:r>
      <w:r w:rsidR="000F7574">
        <w:rPr>
          <w:rFonts w:ascii="Arial" w:hAnsi="Arial" w:cs="Arial"/>
          <w:color w:val="000000"/>
          <w:lang w:val="uk-UA"/>
        </w:rPr>
        <w:t>а</w:t>
      </w:r>
      <w:r w:rsidR="0097086C">
        <w:rPr>
          <w:rFonts w:ascii="Arial" w:hAnsi="Arial" w:cs="Arial"/>
          <w:color w:val="000000"/>
          <w:lang w:val="uk-UA"/>
        </w:rPr>
        <w:t>,</w:t>
      </w:r>
      <w:r w:rsidR="00A14CF6">
        <w:rPr>
          <w:rFonts w:ascii="Arial" w:hAnsi="Arial" w:cs="Arial"/>
          <w:color w:val="000000"/>
          <w:lang w:val="uk-UA"/>
        </w:rPr>
        <w:t xml:space="preserve"> </w:t>
      </w:r>
      <w:r>
        <w:rPr>
          <w:rFonts w:ascii="Arial" w:hAnsi="Arial" w:cs="Arial"/>
          <w:color w:val="000000"/>
          <w:lang w:val="uk-UA"/>
        </w:rPr>
        <w:t>метою з</w:t>
      </w:r>
      <w:r w:rsidR="00A14CF6">
        <w:rPr>
          <w:rFonts w:ascii="Arial" w:hAnsi="Arial" w:cs="Arial"/>
          <w:color w:val="000000"/>
          <w:lang w:val="uk-UA"/>
        </w:rPr>
        <w:t xml:space="preserve">устрічі якої була розробка </w:t>
      </w:r>
      <w:r>
        <w:rPr>
          <w:rFonts w:ascii="Arial" w:hAnsi="Arial" w:cs="Arial"/>
          <w:color w:val="000000"/>
          <w:lang w:val="uk-UA"/>
        </w:rPr>
        <w:t>тимчасових</w:t>
      </w:r>
      <w:r w:rsidRPr="00E56642">
        <w:rPr>
          <w:rFonts w:ascii="Arial" w:hAnsi="Arial" w:cs="Arial"/>
          <w:color w:val="000000"/>
          <w:lang w:val="uk-UA"/>
        </w:rPr>
        <w:t xml:space="preserve"> </w:t>
      </w:r>
      <w:r>
        <w:rPr>
          <w:rFonts w:ascii="Arial" w:hAnsi="Arial" w:cs="Arial"/>
          <w:color w:val="000000"/>
          <w:lang w:val="uk-UA"/>
        </w:rPr>
        <w:t xml:space="preserve">рекомендацій </w:t>
      </w:r>
      <w:r w:rsidR="000F7574">
        <w:rPr>
          <w:rFonts w:ascii="Arial" w:hAnsi="Arial" w:cs="Arial"/>
          <w:color w:val="000000"/>
          <w:lang w:val="uk-UA"/>
        </w:rPr>
        <w:t xml:space="preserve">щодо </w:t>
      </w:r>
      <w:r w:rsidRPr="00E56642">
        <w:rPr>
          <w:rFonts w:ascii="Arial" w:hAnsi="Arial" w:cs="Arial"/>
          <w:color w:val="000000"/>
          <w:lang w:val="uk-UA"/>
        </w:rPr>
        <w:t>застосування</w:t>
      </w:r>
      <w:r>
        <w:rPr>
          <w:rFonts w:ascii="Arial" w:hAnsi="Arial" w:cs="Arial"/>
          <w:color w:val="000000"/>
          <w:lang w:val="uk-UA"/>
        </w:rPr>
        <w:t xml:space="preserve"> </w:t>
      </w:r>
      <w:r w:rsidR="00E568A1" w:rsidRPr="00E56642">
        <w:rPr>
          <w:rFonts w:ascii="Arial" w:hAnsi="Arial" w:cs="Arial"/>
          <w:color w:val="000000"/>
          <w:lang w:val="uk-UA"/>
        </w:rPr>
        <w:t>бедаквілін</w:t>
      </w:r>
      <w:r w:rsidR="00A14CF6">
        <w:rPr>
          <w:rFonts w:ascii="Arial" w:hAnsi="Arial" w:cs="Arial"/>
          <w:color w:val="000000"/>
          <w:lang w:val="uk-UA"/>
        </w:rPr>
        <w:t>у</w:t>
      </w:r>
      <w:r w:rsidR="00E568A1" w:rsidRPr="00E56642">
        <w:rPr>
          <w:rFonts w:ascii="Arial" w:hAnsi="Arial" w:cs="Arial"/>
          <w:color w:val="000000"/>
          <w:lang w:val="uk-UA"/>
        </w:rPr>
        <w:t xml:space="preserve"> </w:t>
      </w:r>
      <w:r>
        <w:rPr>
          <w:rFonts w:ascii="Arial" w:hAnsi="Arial" w:cs="Arial"/>
          <w:color w:val="000000"/>
          <w:lang w:val="uk-UA"/>
        </w:rPr>
        <w:t>на основі оцінки</w:t>
      </w:r>
      <w:r w:rsidR="000F7574">
        <w:rPr>
          <w:rFonts w:ascii="Arial" w:hAnsi="Arial" w:cs="Arial"/>
          <w:color w:val="000000"/>
          <w:lang w:val="uk-UA"/>
        </w:rPr>
        <w:t xml:space="preserve"> </w:t>
      </w:r>
      <w:r w:rsidRPr="00E56642">
        <w:rPr>
          <w:rFonts w:ascii="Arial" w:hAnsi="Arial" w:cs="Arial"/>
          <w:color w:val="000000"/>
          <w:lang w:val="uk-UA"/>
        </w:rPr>
        <w:t>наявних даних про</w:t>
      </w:r>
      <w:r w:rsidR="000F7574">
        <w:rPr>
          <w:rFonts w:ascii="Arial" w:hAnsi="Arial" w:cs="Arial"/>
          <w:color w:val="000000"/>
          <w:lang w:val="uk-UA"/>
        </w:rPr>
        <w:t xml:space="preserve"> цей препарат</w:t>
      </w:r>
      <w:r w:rsidR="00E568A1" w:rsidRPr="00E56642">
        <w:rPr>
          <w:rFonts w:ascii="Arial" w:hAnsi="Arial" w:cs="Arial"/>
          <w:color w:val="000000"/>
          <w:lang w:val="uk-UA"/>
        </w:rPr>
        <w:t>. Оскільки доступні д</w:t>
      </w:r>
      <w:r w:rsidR="00E568A1">
        <w:rPr>
          <w:rFonts w:ascii="Arial" w:hAnsi="Arial" w:cs="Arial"/>
          <w:color w:val="000000"/>
          <w:lang w:val="uk-UA"/>
        </w:rPr>
        <w:t>ані щодо ефективності та безпечності</w:t>
      </w:r>
      <w:r w:rsidR="00E568A1" w:rsidRPr="00E56642">
        <w:rPr>
          <w:rFonts w:ascii="Arial" w:hAnsi="Arial" w:cs="Arial"/>
          <w:color w:val="000000"/>
          <w:lang w:val="uk-UA"/>
        </w:rPr>
        <w:t xml:space="preserve"> цього препарату</w:t>
      </w:r>
      <w:r>
        <w:rPr>
          <w:rFonts w:ascii="Arial" w:hAnsi="Arial" w:cs="Arial"/>
          <w:color w:val="000000"/>
          <w:lang w:val="uk-UA"/>
        </w:rPr>
        <w:t xml:space="preserve"> у</w:t>
      </w:r>
      <w:r w:rsidR="00E568A1">
        <w:rPr>
          <w:rFonts w:ascii="Arial" w:hAnsi="Arial" w:cs="Arial"/>
          <w:color w:val="000000"/>
          <w:lang w:val="uk-UA"/>
        </w:rPr>
        <w:t xml:space="preserve"> лікуванні</w:t>
      </w:r>
      <w:r w:rsidR="00E568A1" w:rsidRPr="00E56642">
        <w:rPr>
          <w:rFonts w:ascii="Arial" w:hAnsi="Arial" w:cs="Arial"/>
          <w:color w:val="000000"/>
          <w:lang w:val="uk-UA"/>
        </w:rPr>
        <w:t xml:space="preserve"> </w:t>
      </w:r>
      <w:r w:rsidR="009B51D9">
        <w:rPr>
          <w:rFonts w:ascii="Arial" w:hAnsi="Arial" w:cs="Arial"/>
          <w:color w:val="000000"/>
          <w:lang w:val="uk-UA"/>
        </w:rPr>
        <w:t>МР ТБ</w:t>
      </w:r>
      <w:r w:rsidR="00E568A1" w:rsidRPr="00E56642">
        <w:rPr>
          <w:rFonts w:ascii="Arial" w:hAnsi="Arial" w:cs="Arial"/>
          <w:color w:val="000000"/>
          <w:lang w:val="uk-UA"/>
        </w:rPr>
        <w:t xml:space="preserve">, </w:t>
      </w:r>
      <w:r>
        <w:rPr>
          <w:rFonts w:ascii="Arial" w:hAnsi="Arial" w:cs="Arial"/>
          <w:color w:val="000000"/>
          <w:lang w:val="uk-UA"/>
        </w:rPr>
        <w:t>представляли</w:t>
      </w:r>
      <w:r w:rsidR="00E568A1">
        <w:rPr>
          <w:rFonts w:ascii="Arial" w:hAnsi="Arial" w:cs="Arial"/>
          <w:color w:val="000000"/>
          <w:lang w:val="uk-UA"/>
        </w:rPr>
        <w:t xml:space="preserve"> лише</w:t>
      </w:r>
      <w:r w:rsidR="00E568A1" w:rsidRPr="00E56642">
        <w:rPr>
          <w:rFonts w:ascii="Arial" w:hAnsi="Arial" w:cs="Arial"/>
          <w:color w:val="000000"/>
          <w:lang w:val="uk-UA"/>
        </w:rPr>
        <w:t xml:space="preserve"> результати </w:t>
      </w:r>
      <w:r w:rsidR="00E568A1">
        <w:rPr>
          <w:rFonts w:ascii="Arial" w:hAnsi="Arial" w:cs="Arial"/>
          <w:color w:val="000000"/>
          <w:lang w:val="uk-UA"/>
        </w:rPr>
        <w:t>досліджень</w:t>
      </w:r>
      <w:r w:rsidR="00A14CF6">
        <w:rPr>
          <w:rFonts w:ascii="Arial" w:hAnsi="Arial" w:cs="Arial"/>
          <w:color w:val="000000"/>
          <w:lang w:val="uk-UA"/>
        </w:rPr>
        <w:t xml:space="preserve"> Фази IIb (тобто не Фази </w:t>
      </w:r>
      <w:r w:rsidR="00E568A1">
        <w:rPr>
          <w:rFonts w:ascii="Arial" w:hAnsi="Arial" w:cs="Arial"/>
          <w:color w:val="000000"/>
          <w:lang w:val="uk-UA"/>
        </w:rPr>
        <w:t xml:space="preserve">ІІІ </w:t>
      </w:r>
      <w:r w:rsidR="00A14CF6">
        <w:rPr>
          <w:rFonts w:ascii="Arial" w:hAnsi="Arial" w:cs="Arial"/>
          <w:color w:val="000000"/>
          <w:lang w:val="uk-UA"/>
        </w:rPr>
        <w:t>досліджень</w:t>
      </w:r>
      <w:r w:rsidR="00E568A1" w:rsidRPr="00E56642">
        <w:rPr>
          <w:rFonts w:ascii="Arial" w:hAnsi="Arial" w:cs="Arial"/>
          <w:color w:val="000000"/>
          <w:lang w:val="uk-UA"/>
        </w:rPr>
        <w:t xml:space="preserve">), потенційні </w:t>
      </w:r>
      <w:r w:rsidR="00E568A1">
        <w:rPr>
          <w:rFonts w:ascii="Arial" w:hAnsi="Arial" w:cs="Arial"/>
          <w:color w:val="000000"/>
          <w:lang w:val="uk-UA"/>
        </w:rPr>
        <w:t xml:space="preserve">рекомендації </w:t>
      </w:r>
      <w:r w:rsidR="00E568A1" w:rsidRPr="00E56642">
        <w:rPr>
          <w:rFonts w:ascii="Arial" w:hAnsi="Arial" w:cs="Arial"/>
          <w:color w:val="000000"/>
          <w:lang w:val="uk-UA"/>
        </w:rPr>
        <w:t xml:space="preserve">можуть бути лише тимчасовими, допоки результати  про подальші клінічні випробування та дані </w:t>
      </w:r>
      <w:r w:rsidR="00E568A1">
        <w:rPr>
          <w:rFonts w:ascii="Arial" w:hAnsi="Arial" w:cs="Arial"/>
          <w:color w:val="000000"/>
          <w:lang w:val="uk-UA"/>
        </w:rPr>
        <w:t>про безпеку</w:t>
      </w:r>
      <w:r w:rsidR="00E568A1" w:rsidRPr="00E56642">
        <w:rPr>
          <w:rFonts w:ascii="Arial" w:hAnsi="Arial" w:cs="Arial"/>
          <w:color w:val="000000"/>
          <w:lang w:val="uk-UA"/>
        </w:rPr>
        <w:t xml:space="preserve"> не будуть доступними. Загальна мета зустрічей ЕГ полягала в оцінці додаткової користі бедаквіліну для лікування </w:t>
      </w:r>
      <w:r w:rsidR="009B51D9">
        <w:rPr>
          <w:rFonts w:ascii="Arial" w:hAnsi="Arial" w:cs="Arial"/>
          <w:color w:val="000000"/>
          <w:lang w:val="uk-UA"/>
        </w:rPr>
        <w:t>МР ТБ</w:t>
      </w:r>
      <w:r w:rsidR="00E568A1" w:rsidRPr="00E56642">
        <w:rPr>
          <w:rFonts w:ascii="Arial" w:hAnsi="Arial" w:cs="Arial"/>
          <w:color w:val="000000"/>
          <w:lang w:val="uk-UA"/>
        </w:rPr>
        <w:t xml:space="preserve"> та, у разі необхідності, надання рекомендацій ВООЗ щодо тимчасового керівництва </w:t>
      </w:r>
      <w:r w:rsidR="00A14CF6">
        <w:rPr>
          <w:rFonts w:ascii="Arial" w:hAnsi="Arial" w:cs="Arial"/>
          <w:color w:val="000000"/>
          <w:lang w:val="uk-UA"/>
        </w:rPr>
        <w:t>для країн стосовно його застосув</w:t>
      </w:r>
      <w:r w:rsidR="00E568A1" w:rsidRPr="00E56642">
        <w:rPr>
          <w:rFonts w:ascii="Arial" w:hAnsi="Arial" w:cs="Arial"/>
          <w:color w:val="000000"/>
          <w:lang w:val="uk-UA"/>
        </w:rPr>
        <w:t>ання у поєднанні з іншими лікарськими препаратами</w:t>
      </w:r>
      <w:r w:rsidR="00A14CF6">
        <w:rPr>
          <w:rFonts w:ascii="Arial" w:hAnsi="Arial" w:cs="Arial"/>
          <w:color w:val="000000"/>
          <w:lang w:val="uk-UA"/>
        </w:rPr>
        <w:t xml:space="preserve"> другого ряду</w:t>
      </w:r>
      <w:r w:rsidR="00E568A1" w:rsidRPr="00E56642">
        <w:rPr>
          <w:rFonts w:ascii="Arial" w:hAnsi="Arial" w:cs="Arial"/>
          <w:color w:val="000000"/>
          <w:lang w:val="uk-UA"/>
        </w:rPr>
        <w:t xml:space="preserve">, </w:t>
      </w:r>
      <w:r w:rsidR="00E568A1">
        <w:rPr>
          <w:rFonts w:ascii="Arial" w:hAnsi="Arial" w:cs="Arial"/>
          <w:color w:val="000000"/>
          <w:lang w:val="uk-UA"/>
        </w:rPr>
        <w:t>які</w:t>
      </w:r>
      <w:r w:rsidR="00E568A1" w:rsidRPr="00E56642">
        <w:rPr>
          <w:rFonts w:ascii="Arial" w:hAnsi="Arial" w:cs="Arial"/>
          <w:color w:val="000000"/>
          <w:lang w:val="uk-UA"/>
        </w:rPr>
        <w:t xml:space="preserve"> застосовуються при лікуванні </w:t>
      </w:r>
      <w:r w:rsidR="009B51D9">
        <w:rPr>
          <w:rFonts w:ascii="Arial" w:hAnsi="Arial" w:cs="Arial"/>
          <w:color w:val="000000"/>
          <w:lang w:val="uk-UA"/>
        </w:rPr>
        <w:t>МР ТБ</w:t>
      </w:r>
      <w:r w:rsidR="00E568A1" w:rsidRPr="00E56642">
        <w:rPr>
          <w:rFonts w:ascii="Arial" w:hAnsi="Arial" w:cs="Arial"/>
          <w:color w:val="000000"/>
          <w:lang w:val="uk-UA"/>
        </w:rPr>
        <w:t xml:space="preserve">. </w:t>
      </w:r>
    </w:p>
    <w:p w14:paraId="6AFBD35A" w14:textId="77777777" w:rsidR="00E568A1" w:rsidRPr="00E56642" w:rsidRDefault="00E568A1" w:rsidP="0037724F">
      <w:pPr>
        <w:autoSpaceDE w:val="0"/>
        <w:autoSpaceDN w:val="0"/>
        <w:adjustRightInd w:val="0"/>
        <w:spacing w:after="0" w:line="240" w:lineRule="auto"/>
        <w:jc w:val="both"/>
        <w:rPr>
          <w:rFonts w:ascii="Arial" w:hAnsi="Arial" w:cs="Arial"/>
          <w:color w:val="000000"/>
          <w:lang w:val="uk-UA"/>
        </w:rPr>
      </w:pPr>
    </w:p>
    <w:p w14:paraId="59E8034D" w14:textId="77777777" w:rsidR="00E568A1" w:rsidRDefault="00E568A1" w:rsidP="00034986">
      <w:pPr>
        <w:autoSpaceDE w:val="0"/>
        <w:autoSpaceDN w:val="0"/>
        <w:adjustRightInd w:val="0"/>
        <w:spacing w:after="0" w:line="240" w:lineRule="auto"/>
        <w:jc w:val="both"/>
        <w:rPr>
          <w:rFonts w:ascii="Arial" w:hAnsi="Arial" w:cs="Arial"/>
          <w:color w:val="000000"/>
          <w:lang w:val="uk-UA"/>
        </w:rPr>
      </w:pPr>
      <w:r w:rsidRPr="00E56642">
        <w:rPr>
          <w:rFonts w:ascii="Arial" w:hAnsi="Arial" w:cs="Arial"/>
          <w:color w:val="000000"/>
          <w:lang w:val="uk-UA"/>
        </w:rPr>
        <w:t>Конкретними завданнями були:</w:t>
      </w:r>
    </w:p>
    <w:p w14:paraId="34D3987C" w14:textId="77777777" w:rsidR="000E2459" w:rsidRPr="000E2459" w:rsidRDefault="000E2459" w:rsidP="00034986">
      <w:pPr>
        <w:autoSpaceDE w:val="0"/>
        <w:autoSpaceDN w:val="0"/>
        <w:adjustRightInd w:val="0"/>
        <w:spacing w:after="0" w:line="240" w:lineRule="auto"/>
        <w:jc w:val="both"/>
        <w:rPr>
          <w:rFonts w:ascii="Arial" w:hAnsi="Arial" w:cs="Arial"/>
          <w:color w:val="000000"/>
          <w:sz w:val="16"/>
          <w:szCs w:val="16"/>
          <w:lang w:val="uk-UA"/>
        </w:rPr>
      </w:pPr>
    </w:p>
    <w:p w14:paraId="348D9C06" w14:textId="7FEC4811" w:rsidR="00E568A1" w:rsidRDefault="00E568A1" w:rsidP="00034986">
      <w:pPr>
        <w:autoSpaceDE w:val="0"/>
        <w:autoSpaceDN w:val="0"/>
        <w:adjustRightInd w:val="0"/>
        <w:spacing w:after="0" w:line="240" w:lineRule="auto"/>
        <w:contextualSpacing/>
        <w:jc w:val="both"/>
        <w:rPr>
          <w:rFonts w:ascii="Arial" w:hAnsi="Arial" w:cs="Arial"/>
          <w:color w:val="000000"/>
          <w:lang w:val="uk-UA"/>
        </w:rPr>
      </w:pPr>
      <w:r w:rsidRPr="00E56642">
        <w:rPr>
          <w:rFonts w:ascii="Arial" w:hAnsi="Arial" w:cs="Arial"/>
          <w:color w:val="000000"/>
          <w:lang w:val="uk-UA"/>
        </w:rPr>
        <w:t>(1) Оцінити ефективність та безпеку бедаквіліну на додато</w:t>
      </w:r>
      <w:r w:rsidR="00A14CF6">
        <w:rPr>
          <w:rFonts w:ascii="Arial" w:hAnsi="Arial" w:cs="Arial"/>
          <w:color w:val="000000"/>
          <w:lang w:val="uk-UA"/>
        </w:rPr>
        <w:t>к до рекомендованих ВООЗ режимів</w:t>
      </w:r>
      <w:r w:rsidRPr="00E56642">
        <w:rPr>
          <w:rFonts w:ascii="Arial" w:hAnsi="Arial" w:cs="Arial"/>
          <w:color w:val="000000"/>
          <w:lang w:val="uk-UA"/>
        </w:rPr>
        <w:t xml:space="preserve"> </w:t>
      </w:r>
      <w:r>
        <w:rPr>
          <w:rFonts w:ascii="Arial" w:hAnsi="Arial" w:cs="Arial"/>
          <w:color w:val="000000"/>
          <w:lang w:val="uk-UA"/>
        </w:rPr>
        <w:t xml:space="preserve">лікування </w:t>
      </w:r>
      <w:r w:rsidR="009B51D9">
        <w:rPr>
          <w:rFonts w:ascii="Arial" w:hAnsi="Arial" w:cs="Arial"/>
          <w:color w:val="000000"/>
          <w:lang w:val="uk-UA"/>
        </w:rPr>
        <w:t>МР ТБ</w:t>
      </w:r>
      <w:r w:rsidRPr="00E56642">
        <w:rPr>
          <w:rFonts w:ascii="Arial" w:hAnsi="Arial" w:cs="Arial"/>
          <w:color w:val="000000"/>
          <w:lang w:val="uk-UA"/>
        </w:rPr>
        <w:t>.</w:t>
      </w:r>
    </w:p>
    <w:p w14:paraId="29BD31F6" w14:textId="6AF4FCC1" w:rsidR="00E568A1" w:rsidRPr="00E56642" w:rsidRDefault="00E568A1" w:rsidP="0037724F">
      <w:pPr>
        <w:autoSpaceDE w:val="0"/>
        <w:autoSpaceDN w:val="0"/>
        <w:adjustRightInd w:val="0"/>
        <w:spacing w:after="0" w:line="240" w:lineRule="auto"/>
        <w:contextualSpacing/>
        <w:jc w:val="both"/>
        <w:rPr>
          <w:rFonts w:ascii="Arial" w:hAnsi="Arial" w:cs="Arial"/>
          <w:color w:val="000000"/>
          <w:lang w:val="uk-UA"/>
        </w:rPr>
      </w:pPr>
      <w:r w:rsidRPr="00E56642">
        <w:rPr>
          <w:rFonts w:ascii="Arial" w:hAnsi="Arial" w:cs="Arial"/>
          <w:color w:val="000000"/>
          <w:lang w:val="uk-UA"/>
        </w:rPr>
        <w:t xml:space="preserve">(2) Оцінити </w:t>
      </w:r>
      <w:r w:rsidR="003B32EF" w:rsidRPr="003B32EF">
        <w:rPr>
          <w:rFonts w:ascii="Arial" w:hAnsi="Arial" w:cs="Arial"/>
          <w:color w:val="000000"/>
          <w:lang w:val="uk-UA"/>
        </w:rPr>
        <w:t>співвідношення шкоди і користі</w:t>
      </w:r>
      <w:r w:rsidR="00591913">
        <w:rPr>
          <w:rFonts w:ascii="Arial" w:hAnsi="Arial" w:cs="Arial"/>
          <w:color w:val="000000"/>
          <w:lang w:val="uk-UA"/>
        </w:rPr>
        <w:t xml:space="preserve"> </w:t>
      </w:r>
      <w:r w:rsidR="00591913" w:rsidRPr="00E56642">
        <w:rPr>
          <w:rFonts w:ascii="Arial" w:hAnsi="Arial" w:cs="Arial"/>
          <w:color w:val="000000"/>
          <w:lang w:val="uk-UA"/>
        </w:rPr>
        <w:t>бедаквіліну</w:t>
      </w:r>
      <w:r w:rsidRPr="00E56642">
        <w:rPr>
          <w:rFonts w:ascii="Arial" w:hAnsi="Arial" w:cs="Arial"/>
          <w:color w:val="000000"/>
          <w:lang w:val="uk-UA"/>
        </w:rPr>
        <w:t xml:space="preserve">, преференціями та </w:t>
      </w:r>
      <w:r>
        <w:rPr>
          <w:rFonts w:ascii="Arial" w:hAnsi="Arial" w:cs="Arial"/>
          <w:color w:val="000000"/>
          <w:lang w:val="uk-UA"/>
        </w:rPr>
        <w:t>сумнівами з боку</w:t>
      </w:r>
      <w:r w:rsidR="00A14CF6">
        <w:rPr>
          <w:rFonts w:ascii="Arial" w:hAnsi="Arial" w:cs="Arial"/>
          <w:color w:val="000000"/>
          <w:lang w:val="uk-UA"/>
        </w:rPr>
        <w:t xml:space="preserve"> пацієнтів та</w:t>
      </w:r>
      <w:r w:rsidRPr="00E56642">
        <w:rPr>
          <w:rFonts w:ascii="Arial" w:hAnsi="Arial" w:cs="Arial"/>
          <w:color w:val="000000"/>
          <w:lang w:val="uk-UA"/>
        </w:rPr>
        <w:t xml:space="preserve"> постачальників</w:t>
      </w:r>
      <w:r w:rsidR="00A14CF6">
        <w:rPr>
          <w:rFonts w:ascii="Arial" w:hAnsi="Arial" w:cs="Arial"/>
          <w:color w:val="000000"/>
          <w:lang w:val="uk-UA"/>
        </w:rPr>
        <w:t xml:space="preserve"> медичних послуг</w:t>
      </w:r>
      <w:r w:rsidRPr="00E56642">
        <w:rPr>
          <w:rFonts w:ascii="Arial" w:hAnsi="Arial" w:cs="Arial"/>
          <w:color w:val="000000"/>
          <w:lang w:val="uk-UA"/>
        </w:rPr>
        <w:t xml:space="preserve">, а також можливість введення препарату до програм </w:t>
      </w:r>
      <w:r w:rsidR="009B51D9">
        <w:rPr>
          <w:rFonts w:ascii="Arial" w:hAnsi="Arial" w:cs="Arial"/>
          <w:color w:val="000000"/>
          <w:lang w:val="uk-UA"/>
        </w:rPr>
        <w:t>МР ТБ</w:t>
      </w:r>
      <w:r w:rsidRPr="00E56642">
        <w:rPr>
          <w:rFonts w:ascii="Arial" w:hAnsi="Arial" w:cs="Arial"/>
          <w:color w:val="000000"/>
          <w:lang w:val="uk-UA"/>
        </w:rPr>
        <w:t>.</w:t>
      </w:r>
    </w:p>
    <w:p w14:paraId="5AE4E684" w14:textId="1F0885BD" w:rsidR="00E568A1" w:rsidRPr="00E56642" w:rsidRDefault="00591913" w:rsidP="0037724F">
      <w:pPr>
        <w:autoSpaceDE w:val="0"/>
        <w:autoSpaceDN w:val="0"/>
        <w:adjustRightInd w:val="0"/>
        <w:spacing w:after="0" w:line="240" w:lineRule="auto"/>
        <w:contextualSpacing/>
        <w:jc w:val="both"/>
        <w:rPr>
          <w:rFonts w:ascii="Arial" w:hAnsi="Arial" w:cs="Arial"/>
          <w:color w:val="000000"/>
          <w:lang w:val="uk-UA"/>
        </w:rPr>
      </w:pPr>
      <w:r>
        <w:rPr>
          <w:rFonts w:ascii="Arial" w:hAnsi="Arial" w:cs="Arial"/>
          <w:color w:val="000000"/>
          <w:lang w:val="uk-UA"/>
        </w:rPr>
        <w:t>(3) Надати, якщо це є можливим, рекомендації щодо застосування препарату в рекомендованих ВООЗ режимах</w:t>
      </w:r>
      <w:r w:rsidR="00E568A1" w:rsidRPr="00E56642">
        <w:rPr>
          <w:rFonts w:ascii="Arial" w:hAnsi="Arial" w:cs="Arial"/>
          <w:color w:val="000000"/>
          <w:lang w:val="uk-UA"/>
        </w:rPr>
        <w:t xml:space="preserve"> лікування</w:t>
      </w:r>
      <w:r>
        <w:rPr>
          <w:rFonts w:ascii="Arial" w:hAnsi="Arial" w:cs="Arial"/>
          <w:color w:val="000000"/>
          <w:lang w:val="uk-UA"/>
        </w:rPr>
        <w:t xml:space="preserve"> МР ТБ, з особливої </w:t>
      </w:r>
      <w:r w:rsidR="000E2459">
        <w:rPr>
          <w:rFonts w:ascii="Arial" w:hAnsi="Arial" w:cs="Arial"/>
          <w:color w:val="000000"/>
          <w:lang w:val="uk-UA"/>
        </w:rPr>
        <w:t>уваги до проблем</w:t>
      </w:r>
      <w:r>
        <w:rPr>
          <w:rFonts w:ascii="Arial" w:hAnsi="Arial" w:cs="Arial"/>
          <w:color w:val="000000"/>
          <w:lang w:val="uk-UA"/>
        </w:rPr>
        <w:t>/</w:t>
      </w:r>
      <w:r w:rsidR="00E568A1" w:rsidRPr="00E56642">
        <w:rPr>
          <w:rFonts w:ascii="Arial" w:hAnsi="Arial" w:cs="Arial"/>
          <w:color w:val="000000"/>
          <w:lang w:val="uk-UA"/>
        </w:rPr>
        <w:t>обмежень, п</w:t>
      </w:r>
      <w:r>
        <w:rPr>
          <w:rFonts w:ascii="Arial" w:hAnsi="Arial" w:cs="Arial"/>
          <w:color w:val="000000"/>
          <w:lang w:val="uk-UA"/>
        </w:rPr>
        <w:t>ов'язаних з потенційним застосув</w:t>
      </w:r>
      <w:r w:rsidR="00E568A1" w:rsidRPr="00E56642">
        <w:rPr>
          <w:rFonts w:ascii="Arial" w:hAnsi="Arial" w:cs="Arial"/>
          <w:color w:val="000000"/>
          <w:lang w:val="uk-UA"/>
        </w:rPr>
        <w:t xml:space="preserve">анням нового препарату, для якого дані клінічних випробувань Фази III </w:t>
      </w:r>
      <w:r>
        <w:rPr>
          <w:rFonts w:ascii="Arial" w:hAnsi="Arial" w:cs="Arial"/>
          <w:color w:val="000000"/>
          <w:lang w:val="uk-UA"/>
        </w:rPr>
        <w:t>є все ще недоступними</w:t>
      </w:r>
      <w:r w:rsidR="00E568A1" w:rsidRPr="00E56642">
        <w:rPr>
          <w:rFonts w:ascii="Arial" w:hAnsi="Arial" w:cs="Arial"/>
          <w:color w:val="000000"/>
          <w:lang w:val="uk-UA"/>
        </w:rPr>
        <w:t>.</w:t>
      </w:r>
    </w:p>
    <w:p w14:paraId="1A6C43BA" w14:textId="77777777" w:rsidR="00E568A1" w:rsidRPr="00E56642" w:rsidRDefault="00E568A1" w:rsidP="0037724F">
      <w:pPr>
        <w:autoSpaceDE w:val="0"/>
        <w:autoSpaceDN w:val="0"/>
        <w:adjustRightInd w:val="0"/>
        <w:spacing w:after="0" w:line="240" w:lineRule="auto"/>
        <w:jc w:val="both"/>
        <w:rPr>
          <w:rFonts w:ascii="Arial" w:hAnsi="Arial" w:cs="Arial"/>
          <w:color w:val="000000"/>
          <w:lang w:val="uk-UA"/>
        </w:rPr>
      </w:pPr>
    </w:p>
    <w:p w14:paraId="466EEE04" w14:textId="4B69A606" w:rsidR="00E568A1" w:rsidRPr="00E56642" w:rsidRDefault="00E568A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До складу </w:t>
      </w:r>
      <w:r w:rsidRPr="00E56642">
        <w:rPr>
          <w:rFonts w:ascii="Arial" w:hAnsi="Arial" w:cs="Arial"/>
          <w:color w:val="000000"/>
          <w:lang w:val="uk-UA"/>
        </w:rPr>
        <w:t xml:space="preserve">ЕГ </w:t>
      </w:r>
      <w:r>
        <w:rPr>
          <w:rFonts w:ascii="Arial" w:hAnsi="Arial" w:cs="Arial"/>
          <w:color w:val="000000"/>
          <w:lang w:val="uk-UA"/>
        </w:rPr>
        <w:t>увійшли дослідники, епідеміологи, кінцеві споживачі</w:t>
      </w:r>
      <w:r w:rsidRPr="00E56642">
        <w:rPr>
          <w:rFonts w:ascii="Arial" w:hAnsi="Arial" w:cs="Arial"/>
          <w:color w:val="000000"/>
          <w:lang w:val="uk-UA"/>
        </w:rPr>
        <w:t xml:space="preserve"> (клініцисти та службовц</w:t>
      </w:r>
      <w:r>
        <w:rPr>
          <w:rFonts w:ascii="Arial" w:hAnsi="Arial" w:cs="Arial"/>
          <w:color w:val="000000"/>
          <w:lang w:val="uk-UA"/>
        </w:rPr>
        <w:t xml:space="preserve">і, задіяні у НТП), представники громад та фахівці </w:t>
      </w:r>
      <w:r w:rsidRPr="00E56642">
        <w:rPr>
          <w:rFonts w:ascii="Arial" w:hAnsi="Arial" w:cs="Arial"/>
          <w:color w:val="000000"/>
          <w:lang w:val="uk-UA"/>
        </w:rPr>
        <w:t xml:space="preserve">з </w:t>
      </w:r>
      <w:r>
        <w:rPr>
          <w:rFonts w:ascii="Arial" w:hAnsi="Arial" w:cs="Arial"/>
          <w:color w:val="000000"/>
          <w:lang w:val="uk-UA"/>
        </w:rPr>
        <w:t>узагальнення результатів</w:t>
      </w:r>
      <w:r w:rsidRPr="00E56642">
        <w:rPr>
          <w:rFonts w:ascii="Arial" w:hAnsi="Arial" w:cs="Arial"/>
          <w:color w:val="000000"/>
          <w:lang w:val="uk-UA"/>
        </w:rPr>
        <w:t xml:space="preserve">. </w:t>
      </w:r>
      <w:r w:rsidR="0067434A">
        <w:rPr>
          <w:rFonts w:ascii="Arial" w:hAnsi="Arial" w:cs="Arial"/>
          <w:color w:val="000000"/>
          <w:lang w:val="uk-UA"/>
        </w:rPr>
        <w:t xml:space="preserve">Контроль </w:t>
      </w:r>
      <w:r>
        <w:rPr>
          <w:rFonts w:ascii="Arial" w:hAnsi="Arial" w:cs="Arial"/>
          <w:color w:val="000000"/>
          <w:lang w:val="uk-UA"/>
        </w:rPr>
        <w:t>Декларацій</w:t>
      </w:r>
      <w:r w:rsidRPr="00E56642">
        <w:rPr>
          <w:rFonts w:ascii="Arial" w:hAnsi="Arial" w:cs="Arial"/>
          <w:color w:val="000000"/>
          <w:lang w:val="uk-UA"/>
        </w:rPr>
        <w:t xml:space="preserve"> про зацікавленість </w:t>
      </w:r>
      <w:r>
        <w:rPr>
          <w:rFonts w:ascii="Arial" w:hAnsi="Arial" w:cs="Arial"/>
          <w:color w:val="000000"/>
          <w:lang w:val="uk-UA"/>
        </w:rPr>
        <w:t>відбувався</w:t>
      </w:r>
      <w:r w:rsidRPr="00E56642">
        <w:rPr>
          <w:rFonts w:ascii="Arial" w:hAnsi="Arial" w:cs="Arial"/>
          <w:color w:val="000000"/>
          <w:lang w:val="uk-UA"/>
        </w:rPr>
        <w:t xml:space="preserve"> згідно з правилами ВООЗ.</w:t>
      </w:r>
    </w:p>
    <w:p w14:paraId="28ADF92E" w14:textId="77777777" w:rsidR="00E568A1" w:rsidRPr="00E56642" w:rsidRDefault="00E568A1" w:rsidP="0037724F">
      <w:pPr>
        <w:autoSpaceDE w:val="0"/>
        <w:autoSpaceDN w:val="0"/>
        <w:adjustRightInd w:val="0"/>
        <w:spacing w:after="0" w:line="240" w:lineRule="auto"/>
        <w:jc w:val="both"/>
        <w:rPr>
          <w:rFonts w:ascii="Arial" w:hAnsi="Arial" w:cs="Arial"/>
          <w:color w:val="000000"/>
          <w:lang w:val="uk-UA"/>
        </w:rPr>
      </w:pPr>
    </w:p>
    <w:p w14:paraId="0668267A" w14:textId="69ACF5A9" w:rsidR="009B6FD9" w:rsidRDefault="00E568A1" w:rsidP="0037724F">
      <w:pPr>
        <w:pBdr>
          <w:bottom w:val="single" w:sz="6" w:space="1" w:color="auto"/>
        </w:pBdr>
        <w:autoSpaceDE w:val="0"/>
        <w:autoSpaceDN w:val="0"/>
        <w:adjustRightInd w:val="0"/>
        <w:spacing w:after="0" w:line="240" w:lineRule="auto"/>
        <w:jc w:val="both"/>
        <w:rPr>
          <w:rFonts w:ascii="Arial" w:hAnsi="Arial" w:cs="Arial"/>
          <w:color w:val="000000"/>
        </w:rPr>
      </w:pPr>
      <w:r w:rsidRPr="00725894">
        <w:rPr>
          <w:rFonts w:ascii="Arial" w:hAnsi="Arial" w:cs="Arial"/>
          <w:color w:val="000000"/>
          <w:lang w:val="uk-UA"/>
        </w:rPr>
        <w:t xml:space="preserve">Були проаналізовані загальнодоступні дані </w:t>
      </w:r>
      <w:r w:rsidR="000E2459" w:rsidRPr="00725894">
        <w:rPr>
          <w:rFonts w:ascii="Arial" w:hAnsi="Arial" w:cs="Arial"/>
          <w:color w:val="000000"/>
          <w:lang w:val="uk-UA"/>
        </w:rPr>
        <w:t>про доклінічні та клінічні</w:t>
      </w:r>
      <w:r w:rsidRPr="00725894">
        <w:rPr>
          <w:rFonts w:ascii="Arial" w:hAnsi="Arial" w:cs="Arial"/>
          <w:color w:val="000000"/>
          <w:lang w:val="uk-UA"/>
        </w:rPr>
        <w:t xml:space="preserve"> розробки препарата для оцінки </w:t>
      </w:r>
      <w:r w:rsidR="000E2459" w:rsidRPr="00725894">
        <w:rPr>
          <w:rFonts w:ascii="Arial" w:hAnsi="Arial" w:cs="Arial"/>
          <w:color w:val="000000"/>
          <w:lang w:val="uk-UA"/>
        </w:rPr>
        <w:t xml:space="preserve">його </w:t>
      </w:r>
      <w:r w:rsidRPr="00725894">
        <w:rPr>
          <w:rFonts w:ascii="Arial" w:hAnsi="Arial" w:cs="Arial"/>
          <w:color w:val="000000"/>
          <w:lang w:val="uk-UA"/>
        </w:rPr>
        <w:t xml:space="preserve">ефективності, безпеки та  переносимості </w:t>
      </w:r>
      <w:r w:rsidR="000E2459" w:rsidRPr="00725894">
        <w:rPr>
          <w:rFonts w:ascii="Arial" w:hAnsi="Arial" w:cs="Arial"/>
          <w:color w:val="000000"/>
          <w:lang w:val="uk-UA"/>
        </w:rPr>
        <w:t>пацієнтом</w:t>
      </w:r>
      <w:r w:rsidRPr="00725894">
        <w:rPr>
          <w:rFonts w:ascii="Arial" w:hAnsi="Arial" w:cs="Arial"/>
          <w:color w:val="000000"/>
          <w:lang w:val="uk-UA"/>
        </w:rPr>
        <w:t xml:space="preserve">, а також  доповнені роботою </w:t>
      </w:r>
      <w:r w:rsidR="000E2459" w:rsidRPr="00725894">
        <w:rPr>
          <w:rFonts w:ascii="Arial" w:hAnsi="Arial" w:cs="Arial"/>
          <w:color w:val="000000"/>
          <w:lang w:val="uk-UA"/>
        </w:rPr>
        <w:t xml:space="preserve">над </w:t>
      </w:r>
      <w:r w:rsidR="00863A45">
        <w:rPr>
          <w:rFonts w:ascii="Arial" w:hAnsi="Arial" w:cs="Arial"/>
          <w:color w:val="000000"/>
          <w:lang w:val="uk-UA"/>
        </w:rPr>
        <w:t xml:space="preserve">розробкою </w:t>
      </w:r>
      <w:r w:rsidR="000E2459" w:rsidRPr="00725894">
        <w:rPr>
          <w:rFonts w:ascii="Arial" w:hAnsi="Arial" w:cs="Arial"/>
          <w:color w:val="000000"/>
          <w:lang w:val="uk-UA"/>
        </w:rPr>
        <w:t>моделлю</w:t>
      </w:r>
      <w:r w:rsidRPr="00725894">
        <w:rPr>
          <w:rFonts w:ascii="Arial" w:hAnsi="Arial" w:cs="Arial"/>
          <w:color w:val="000000"/>
          <w:lang w:val="uk-UA"/>
        </w:rPr>
        <w:t xml:space="preserve"> оцінки потенційної економічної ефективності програмного впровадження</w:t>
      </w:r>
      <w:r w:rsidR="00863A45">
        <w:rPr>
          <w:rFonts w:ascii="Arial" w:hAnsi="Arial" w:cs="Arial"/>
          <w:color w:val="000000"/>
          <w:lang w:val="uk-UA"/>
        </w:rPr>
        <w:t xml:space="preserve"> бедаквіліну</w:t>
      </w:r>
      <w:r w:rsidRPr="00725894">
        <w:rPr>
          <w:rFonts w:ascii="Arial" w:hAnsi="Arial" w:cs="Arial"/>
          <w:color w:val="000000"/>
          <w:lang w:val="uk-UA"/>
        </w:rPr>
        <w:t xml:space="preserve">. </w:t>
      </w:r>
      <w:r w:rsidR="000E2459" w:rsidRPr="00725894">
        <w:rPr>
          <w:rFonts w:ascii="Arial" w:hAnsi="Arial" w:cs="Arial"/>
          <w:color w:val="000000"/>
          <w:lang w:val="uk-UA"/>
        </w:rPr>
        <w:t xml:space="preserve">Обговорювалися </w:t>
      </w:r>
      <w:r w:rsidRPr="00725894">
        <w:rPr>
          <w:rFonts w:ascii="Arial" w:hAnsi="Arial" w:cs="Arial"/>
          <w:color w:val="000000"/>
          <w:lang w:val="uk-UA"/>
        </w:rPr>
        <w:t>питання, які слід розглянути під час майбутніх д</w:t>
      </w:r>
      <w:r w:rsidR="0067434A" w:rsidRPr="00725894">
        <w:rPr>
          <w:rFonts w:ascii="Arial" w:hAnsi="Arial" w:cs="Arial"/>
          <w:color w:val="000000"/>
          <w:lang w:val="uk-UA"/>
        </w:rPr>
        <w:t>осліджень. Крім того, виробник надав</w:t>
      </w:r>
      <w:r w:rsidR="00846536" w:rsidRPr="00725894">
        <w:rPr>
          <w:rFonts w:ascii="Arial" w:hAnsi="Arial" w:cs="Arial"/>
          <w:color w:val="000000"/>
          <w:lang w:val="uk-UA"/>
        </w:rPr>
        <w:t xml:space="preserve"> ВООЗ </w:t>
      </w:r>
      <w:r w:rsidR="00725894" w:rsidRPr="00725894">
        <w:rPr>
          <w:rFonts w:ascii="Arial" w:hAnsi="Arial" w:cs="Arial"/>
          <w:color w:val="000000"/>
          <w:lang w:val="uk-UA"/>
        </w:rPr>
        <w:t xml:space="preserve">остаточні дані </w:t>
      </w:r>
      <w:r w:rsidR="0016293D">
        <w:rPr>
          <w:rFonts w:ascii="Arial" w:hAnsi="Arial" w:cs="Arial"/>
          <w:color w:val="000000"/>
          <w:lang w:val="uk-UA"/>
        </w:rPr>
        <w:t xml:space="preserve">базового </w:t>
      </w:r>
      <w:r w:rsidR="0016293D" w:rsidRPr="0016293D">
        <w:rPr>
          <w:rFonts w:ascii="Arial" w:hAnsi="Arial" w:cs="Arial"/>
          <w:color w:val="000000"/>
          <w:lang w:val="uk-UA"/>
        </w:rPr>
        <w:t xml:space="preserve">дослідження обґрунтованості концепціі </w:t>
      </w:r>
      <w:r w:rsidRPr="00725894">
        <w:rPr>
          <w:rFonts w:ascii="Arial" w:hAnsi="Arial" w:cs="Arial"/>
          <w:color w:val="000000"/>
          <w:lang w:val="uk-UA"/>
        </w:rPr>
        <w:t xml:space="preserve">Фази </w:t>
      </w:r>
      <w:r w:rsidRPr="00725894">
        <w:rPr>
          <w:rFonts w:ascii="Arial" w:hAnsi="Arial" w:cs="Arial"/>
          <w:color w:val="000000"/>
          <w:lang w:val="en-US"/>
        </w:rPr>
        <w:t>II</w:t>
      </w:r>
      <w:r w:rsidRPr="00725894">
        <w:rPr>
          <w:rFonts w:ascii="Arial" w:hAnsi="Arial" w:cs="Arial"/>
          <w:color w:val="000000"/>
          <w:lang w:val="uk-UA"/>
        </w:rPr>
        <w:t xml:space="preserve"> (які не були оцінені </w:t>
      </w:r>
      <w:r w:rsidR="00725894" w:rsidRPr="00725894">
        <w:rPr>
          <w:rFonts w:ascii="Arial" w:hAnsi="Arial" w:cs="Arial"/>
          <w:color w:val="000000" w:themeColor="text1"/>
          <w:lang w:val="uk-UA"/>
        </w:rPr>
        <w:t>Управлінням з санітарного нагляду за якістю харчових продуктів і медикаментів США</w:t>
      </w:r>
      <w:r w:rsidR="00725894" w:rsidRPr="00725894">
        <w:rPr>
          <w:rFonts w:ascii="Arial" w:hAnsi="Arial" w:cs="Arial"/>
          <w:color w:val="000000"/>
          <w:lang w:val="uk-UA"/>
        </w:rPr>
        <w:t xml:space="preserve"> </w:t>
      </w:r>
      <w:r w:rsidR="00725894">
        <w:rPr>
          <w:rFonts w:ascii="Arial" w:hAnsi="Arial" w:cs="Arial"/>
          <w:color w:val="000000"/>
          <w:lang w:val="uk-UA"/>
        </w:rPr>
        <w:t xml:space="preserve">під час </w:t>
      </w:r>
      <w:r w:rsidR="00725894" w:rsidRPr="00725894">
        <w:rPr>
          <w:rFonts w:ascii="Arial" w:hAnsi="Arial" w:cs="Arial"/>
          <w:color w:val="000000"/>
          <w:lang w:val="uk-UA"/>
        </w:rPr>
        <w:t xml:space="preserve">прискореного перегляду </w:t>
      </w:r>
      <w:r w:rsidR="00725894" w:rsidRPr="00863A45">
        <w:rPr>
          <w:rFonts w:ascii="Arial" w:hAnsi="Arial" w:cs="Arial"/>
          <w:color w:val="000000"/>
          <w:lang w:val="uk-UA"/>
        </w:rPr>
        <w:t>регуляторних актів</w:t>
      </w:r>
      <w:r w:rsidR="000E2459" w:rsidRPr="00863A45">
        <w:rPr>
          <w:rFonts w:ascii="Arial" w:hAnsi="Arial" w:cs="Arial"/>
          <w:color w:val="000000"/>
          <w:lang w:val="uk-UA"/>
        </w:rPr>
        <w:t>)</w:t>
      </w:r>
      <w:r w:rsidRPr="00863A45">
        <w:rPr>
          <w:rFonts w:ascii="Arial" w:hAnsi="Arial" w:cs="Arial"/>
          <w:color w:val="000000"/>
          <w:lang w:val="uk-UA"/>
        </w:rPr>
        <w:t>,</w:t>
      </w:r>
      <w:r w:rsidRPr="00725894">
        <w:rPr>
          <w:rFonts w:ascii="Arial" w:hAnsi="Arial" w:cs="Arial"/>
          <w:color w:val="000000"/>
          <w:lang w:val="uk-UA"/>
        </w:rPr>
        <w:t xml:space="preserve"> що дозволило пр</w:t>
      </w:r>
      <w:r w:rsidR="00863A45">
        <w:rPr>
          <w:rFonts w:ascii="Arial" w:hAnsi="Arial" w:cs="Arial"/>
          <w:color w:val="000000"/>
          <w:lang w:val="uk-UA"/>
        </w:rPr>
        <w:t xml:space="preserve">овести більш комплексний огляд </w:t>
      </w:r>
      <w:r w:rsidRPr="00725894">
        <w:rPr>
          <w:rFonts w:ascii="Arial" w:hAnsi="Arial" w:cs="Arial"/>
          <w:color w:val="000000"/>
          <w:lang w:val="uk-UA"/>
        </w:rPr>
        <w:t xml:space="preserve">Експертною </w:t>
      </w:r>
      <w:r w:rsidRPr="00725894">
        <w:rPr>
          <w:rFonts w:ascii="Arial" w:hAnsi="Arial" w:cs="Arial"/>
          <w:color w:val="000000"/>
        </w:rPr>
        <w:t xml:space="preserve">Групою. Для дотримання чинних стандартів оцінки результатів при формулюванні </w:t>
      </w:r>
      <w:r w:rsidRPr="007A218D">
        <w:rPr>
          <w:rFonts w:ascii="Arial" w:hAnsi="Arial" w:cs="Arial"/>
          <w:color w:val="000000"/>
        </w:rPr>
        <w:t>реком</w:t>
      </w:r>
      <w:r w:rsidR="009B6FD9">
        <w:rPr>
          <w:rFonts w:ascii="Arial" w:hAnsi="Arial" w:cs="Arial"/>
          <w:color w:val="000000"/>
        </w:rPr>
        <w:t xml:space="preserve">ендацій було </w:t>
      </w:r>
      <w:r w:rsidR="009B6FD9">
        <w:rPr>
          <w:rFonts w:ascii="Arial" w:hAnsi="Arial" w:cs="Arial"/>
          <w:color w:val="000000"/>
          <w:lang w:val="uk-UA"/>
        </w:rPr>
        <w:t>застосовано</w:t>
      </w:r>
      <w:r w:rsidR="00863A45">
        <w:rPr>
          <w:rFonts w:ascii="Arial" w:hAnsi="Arial" w:cs="Arial"/>
          <w:color w:val="000000"/>
        </w:rPr>
        <w:t xml:space="preserve"> процес</w:t>
      </w:r>
      <w:r w:rsidRPr="007A218D">
        <w:rPr>
          <w:rFonts w:ascii="Arial" w:hAnsi="Arial" w:cs="Arial"/>
          <w:color w:val="000000"/>
        </w:rPr>
        <w:t xml:space="preserve"> </w:t>
      </w:r>
      <w:r w:rsidRPr="007A218D">
        <w:rPr>
          <w:rFonts w:ascii="Arial" w:hAnsi="Arial" w:cs="Arial"/>
          <w:color w:val="000000"/>
          <w:lang w:val="en-US"/>
        </w:rPr>
        <w:t>GRADE</w:t>
      </w:r>
      <w:r w:rsidR="00863A45" w:rsidRPr="00863A45">
        <w:rPr>
          <w:rFonts w:ascii="Arial" w:hAnsi="Arial" w:cs="Arial"/>
          <w:b/>
          <w:color w:val="000000"/>
          <w:vertAlign w:val="superscript"/>
          <w:lang w:val="en-US"/>
        </w:rPr>
        <w:t>1</w:t>
      </w:r>
      <w:r w:rsidRPr="007A218D">
        <w:rPr>
          <w:rFonts w:ascii="Arial" w:hAnsi="Arial" w:cs="Arial"/>
          <w:color w:val="000000"/>
        </w:rPr>
        <w:t xml:space="preserve">, </w:t>
      </w:r>
    </w:p>
    <w:p w14:paraId="1558D7E7" w14:textId="77777777" w:rsidR="009B6FD9" w:rsidRPr="00863A45" w:rsidRDefault="009B6FD9" w:rsidP="009B6FD9">
      <w:pPr>
        <w:autoSpaceDE w:val="0"/>
        <w:autoSpaceDN w:val="0"/>
        <w:adjustRightInd w:val="0"/>
        <w:spacing w:after="0" w:line="240" w:lineRule="auto"/>
        <w:jc w:val="both"/>
        <w:rPr>
          <w:rFonts w:ascii="Arial" w:hAnsi="Arial" w:cs="Arial"/>
          <w:color w:val="000000"/>
          <w:sz w:val="16"/>
          <w:szCs w:val="16"/>
        </w:rPr>
      </w:pPr>
      <w:r w:rsidRPr="00863A45">
        <w:rPr>
          <w:rFonts w:ascii="Arial" w:hAnsi="Arial" w:cs="Arial"/>
          <w:color w:val="000000"/>
          <w:sz w:val="16"/>
          <w:szCs w:val="16"/>
        </w:rPr>
        <w:t xml:space="preserve">1 </w:t>
      </w:r>
      <w:r w:rsidRPr="00863A45">
        <w:rPr>
          <w:rFonts w:ascii="Arial" w:hAnsi="Arial" w:cs="Arial"/>
          <w:color w:val="000000"/>
          <w:sz w:val="16"/>
          <w:szCs w:val="16"/>
          <w:lang w:val="en-US"/>
        </w:rPr>
        <w:t>GRADE</w:t>
      </w:r>
      <w:r w:rsidRPr="00863A45">
        <w:rPr>
          <w:rFonts w:ascii="Arial" w:hAnsi="Arial" w:cs="Arial"/>
          <w:color w:val="000000"/>
          <w:sz w:val="16"/>
          <w:szCs w:val="16"/>
        </w:rPr>
        <w:t xml:space="preserve">: </w:t>
      </w:r>
      <w:r w:rsidRPr="00863A45">
        <w:rPr>
          <w:rFonts w:ascii="Arial" w:hAnsi="Arial" w:cs="Arial"/>
          <w:color w:val="000000"/>
          <w:sz w:val="16"/>
          <w:szCs w:val="16"/>
          <w:lang w:val="uk-UA"/>
        </w:rPr>
        <w:t>Оцінка, розробка та експертиза ступенів обґрунтованості рекомендацій</w:t>
      </w:r>
      <w:r w:rsidRPr="00863A45">
        <w:rPr>
          <w:rFonts w:ascii="Arial" w:hAnsi="Arial" w:cs="Arial"/>
          <w:color w:val="000000"/>
          <w:sz w:val="16"/>
          <w:szCs w:val="16"/>
        </w:rPr>
        <w:t>.</w:t>
      </w:r>
    </w:p>
    <w:p w14:paraId="07D8CD0E" w14:textId="7D45DFEC" w:rsidR="00E568A1" w:rsidRPr="009B6FD9" w:rsidRDefault="00E568A1" w:rsidP="0037724F">
      <w:pPr>
        <w:autoSpaceDE w:val="0"/>
        <w:autoSpaceDN w:val="0"/>
        <w:adjustRightInd w:val="0"/>
        <w:spacing w:after="0" w:line="240" w:lineRule="auto"/>
        <w:jc w:val="both"/>
        <w:rPr>
          <w:rFonts w:ascii="Arial" w:hAnsi="Arial" w:cs="Arial"/>
          <w:color w:val="000000"/>
        </w:rPr>
      </w:pPr>
      <w:r w:rsidRPr="007A218D">
        <w:rPr>
          <w:rFonts w:ascii="Arial" w:hAnsi="Arial" w:cs="Arial"/>
          <w:color w:val="000000"/>
        </w:rPr>
        <w:lastRenderedPageBreak/>
        <w:t>прий</w:t>
      </w:r>
      <w:r w:rsidR="009B6FD9">
        <w:rPr>
          <w:rFonts w:ascii="Arial" w:hAnsi="Arial" w:cs="Arial"/>
          <w:color w:val="000000"/>
        </w:rPr>
        <w:t xml:space="preserve">нятий ВООЗ для розробки </w:t>
      </w:r>
      <w:r w:rsidR="00863A45">
        <w:rPr>
          <w:rFonts w:ascii="Arial" w:hAnsi="Arial" w:cs="Arial"/>
          <w:color w:val="000000"/>
        </w:rPr>
        <w:t>стратегій</w:t>
      </w:r>
      <w:r w:rsidRPr="007A218D">
        <w:rPr>
          <w:rFonts w:ascii="Arial" w:hAnsi="Arial" w:cs="Arial"/>
          <w:color w:val="000000"/>
        </w:rPr>
        <w:t xml:space="preserve"> та </w:t>
      </w:r>
      <w:r>
        <w:rPr>
          <w:rFonts w:ascii="Arial" w:hAnsi="Arial" w:cs="Arial"/>
          <w:color w:val="000000"/>
          <w:lang w:val="uk-UA"/>
        </w:rPr>
        <w:t>рекомендацій</w:t>
      </w:r>
      <w:r w:rsidRPr="007A218D">
        <w:rPr>
          <w:rFonts w:ascii="Arial" w:hAnsi="Arial" w:cs="Arial"/>
          <w:color w:val="000000"/>
        </w:rPr>
        <w:t>.</w:t>
      </w:r>
      <w:r w:rsidR="00863A45">
        <w:rPr>
          <w:rFonts w:ascii="Arial" w:hAnsi="Arial" w:cs="Arial"/>
          <w:color w:val="000000"/>
          <w:lang w:val="uk-UA"/>
        </w:rPr>
        <w:t xml:space="preserve"> Також, </w:t>
      </w:r>
      <w:r w:rsidR="009B6FD9" w:rsidRPr="00A60AE1">
        <w:rPr>
          <w:rFonts w:ascii="Arial" w:hAnsi="Arial" w:cs="Arial"/>
          <w:iCs/>
          <w:color w:val="000000"/>
        </w:rPr>
        <w:t>у консультації з ЕГ</w:t>
      </w:r>
      <w:r w:rsidR="009B6FD9">
        <w:rPr>
          <w:rFonts w:ascii="Arial" w:hAnsi="Arial" w:cs="Arial"/>
          <w:iCs/>
          <w:color w:val="000000"/>
        </w:rPr>
        <w:t>,</w:t>
      </w:r>
      <w:r w:rsidR="009B6FD9">
        <w:rPr>
          <w:rFonts w:ascii="Arial" w:hAnsi="Arial" w:cs="Arial"/>
          <w:iCs/>
          <w:color w:val="000000"/>
          <w:lang w:val="uk-UA"/>
        </w:rPr>
        <w:t xml:space="preserve"> </w:t>
      </w:r>
      <w:r w:rsidR="00863A45">
        <w:rPr>
          <w:rFonts w:ascii="Arial" w:hAnsi="Arial" w:cs="Arial"/>
          <w:iCs/>
          <w:color w:val="000000"/>
          <w:lang w:val="uk-UA"/>
        </w:rPr>
        <w:t>попередньо були</w:t>
      </w:r>
      <w:r w:rsidR="003A1667">
        <w:rPr>
          <w:rFonts w:ascii="Arial" w:hAnsi="Arial" w:cs="Arial"/>
          <w:iCs/>
          <w:color w:val="000000"/>
          <w:lang w:val="uk-UA"/>
        </w:rPr>
        <w:t xml:space="preserve"> сформульовано</w:t>
      </w:r>
      <w:r w:rsidR="00863A45">
        <w:rPr>
          <w:rFonts w:ascii="Arial" w:hAnsi="Arial" w:cs="Arial"/>
          <w:iCs/>
          <w:color w:val="000000"/>
          <w:lang w:val="uk-UA"/>
        </w:rPr>
        <w:t xml:space="preserve"> </w:t>
      </w:r>
      <w:r>
        <w:rPr>
          <w:rFonts w:ascii="Arial" w:hAnsi="Arial" w:cs="Arial"/>
          <w:iCs/>
          <w:color w:val="000000"/>
          <w:lang w:val="uk-UA"/>
        </w:rPr>
        <w:t>питання</w:t>
      </w:r>
      <w:r w:rsidR="00863A45">
        <w:rPr>
          <w:rFonts w:ascii="Arial" w:hAnsi="Arial" w:cs="Arial"/>
          <w:iCs/>
          <w:color w:val="000000"/>
          <w:lang w:val="uk-UA"/>
        </w:rPr>
        <w:t xml:space="preserve"> </w:t>
      </w:r>
      <w:r w:rsidR="00863A45">
        <w:rPr>
          <w:rFonts w:ascii="Arial" w:hAnsi="Arial" w:cs="Arial"/>
          <w:iCs/>
          <w:color w:val="000000"/>
          <w:lang w:val="en-US"/>
        </w:rPr>
        <w:t>PIKO</w:t>
      </w:r>
      <w:r w:rsidRPr="00A60AE1">
        <w:rPr>
          <w:rFonts w:ascii="Arial" w:hAnsi="Arial" w:cs="Arial"/>
          <w:iCs/>
          <w:color w:val="000000"/>
          <w:vertAlign w:val="superscript"/>
        </w:rPr>
        <w:t>2</w:t>
      </w:r>
      <w:r w:rsidRPr="00A60AE1">
        <w:rPr>
          <w:rFonts w:ascii="Arial" w:hAnsi="Arial" w:cs="Arial"/>
          <w:iCs/>
          <w:color w:val="000000"/>
        </w:rPr>
        <w:t>:</w:t>
      </w:r>
      <w:r w:rsidRPr="00A60AE1">
        <w:rPr>
          <w:rFonts w:ascii="Arial" w:hAnsi="Arial" w:cs="Arial"/>
          <w:i/>
          <w:iCs/>
          <w:color w:val="000000"/>
        </w:rPr>
        <w:t xml:space="preserve"> "</w:t>
      </w:r>
      <w:r w:rsidR="003A1667">
        <w:rPr>
          <w:rFonts w:ascii="Arial" w:hAnsi="Arial" w:cs="Arial"/>
          <w:i/>
          <w:iCs/>
          <w:color w:val="000000"/>
        </w:rPr>
        <w:t>Чи є докази безпечного включення</w:t>
      </w:r>
      <w:r w:rsidR="003A1667" w:rsidRPr="00A60AE1">
        <w:rPr>
          <w:rFonts w:ascii="Arial" w:hAnsi="Arial" w:cs="Arial"/>
          <w:i/>
          <w:iCs/>
          <w:color w:val="000000"/>
        </w:rPr>
        <w:t xml:space="preserve"> бедаквіліну до </w:t>
      </w:r>
      <w:r w:rsidR="003A1667">
        <w:rPr>
          <w:rFonts w:ascii="Arial" w:hAnsi="Arial" w:cs="Arial"/>
          <w:i/>
          <w:iCs/>
          <w:color w:val="000000"/>
        </w:rPr>
        <w:t>рекомендованого</w:t>
      </w:r>
      <w:r w:rsidR="003A1667" w:rsidRPr="00A60AE1">
        <w:rPr>
          <w:rFonts w:ascii="Arial" w:hAnsi="Arial" w:cs="Arial"/>
          <w:i/>
          <w:iCs/>
          <w:color w:val="000000"/>
        </w:rPr>
        <w:t xml:space="preserve"> ВООЗ фонового режиму лікування</w:t>
      </w:r>
      <w:r w:rsidR="003A1667">
        <w:rPr>
          <w:rFonts w:ascii="Arial" w:hAnsi="Arial" w:cs="Arial"/>
          <w:i/>
          <w:iCs/>
          <w:color w:val="000000"/>
        </w:rPr>
        <w:t xml:space="preserve"> пацієнта з МР ТБ та докази очевидного покращення результатів лікування</w:t>
      </w:r>
      <w:r w:rsidRPr="00A60AE1">
        <w:rPr>
          <w:rFonts w:ascii="Arial" w:hAnsi="Arial" w:cs="Arial"/>
          <w:i/>
          <w:iCs/>
          <w:color w:val="000000"/>
        </w:rPr>
        <w:t>?"</w:t>
      </w:r>
    </w:p>
    <w:p w14:paraId="233F4C28" w14:textId="77777777" w:rsidR="00E568A1" w:rsidRPr="00A60AE1" w:rsidRDefault="00E568A1" w:rsidP="004D090B">
      <w:pPr>
        <w:autoSpaceDE w:val="0"/>
        <w:autoSpaceDN w:val="0"/>
        <w:adjustRightInd w:val="0"/>
        <w:spacing w:after="0" w:line="240" w:lineRule="auto"/>
        <w:jc w:val="both"/>
        <w:rPr>
          <w:rFonts w:ascii="Arial" w:hAnsi="Arial" w:cs="Arial"/>
          <w:color w:val="000000"/>
          <w:sz w:val="18"/>
          <w:szCs w:val="18"/>
        </w:rPr>
      </w:pPr>
    </w:p>
    <w:p w14:paraId="4E596B9A" w14:textId="77777777" w:rsidR="00E568A1" w:rsidRDefault="00E568A1" w:rsidP="00D920E7">
      <w:pPr>
        <w:autoSpaceDE w:val="0"/>
        <w:autoSpaceDN w:val="0"/>
        <w:adjustRightInd w:val="0"/>
        <w:spacing w:after="0" w:line="240" w:lineRule="auto"/>
        <w:jc w:val="both"/>
        <w:rPr>
          <w:rFonts w:ascii="Arial" w:hAnsi="Arial" w:cs="Arial"/>
          <w:bCs/>
          <w:color w:val="000000"/>
          <w:lang w:val="uk-UA"/>
        </w:rPr>
      </w:pPr>
      <w:r w:rsidRPr="00D920E7">
        <w:rPr>
          <w:rFonts w:ascii="Arial" w:hAnsi="Arial" w:cs="Arial"/>
          <w:bCs/>
          <w:color w:val="000000"/>
        </w:rPr>
        <w:t>Для оцінки ЕГ обрала наступні результати:</w:t>
      </w:r>
    </w:p>
    <w:p w14:paraId="5781E150" w14:textId="77777777" w:rsidR="00FC3EA0" w:rsidRPr="00FC3EA0" w:rsidRDefault="00FC3EA0" w:rsidP="00D920E7">
      <w:pPr>
        <w:autoSpaceDE w:val="0"/>
        <w:autoSpaceDN w:val="0"/>
        <w:adjustRightInd w:val="0"/>
        <w:spacing w:after="0" w:line="240" w:lineRule="auto"/>
        <w:jc w:val="both"/>
        <w:rPr>
          <w:rFonts w:ascii="Arial" w:hAnsi="Arial" w:cs="Arial"/>
          <w:bCs/>
          <w:color w:val="000000"/>
          <w:sz w:val="10"/>
          <w:szCs w:val="10"/>
          <w:lang w:val="uk-UA"/>
        </w:rPr>
      </w:pPr>
    </w:p>
    <w:p w14:paraId="2CADA942" w14:textId="77777777" w:rsidR="00E568A1" w:rsidRPr="00D920E7" w:rsidRDefault="00E568A1" w:rsidP="00D920E7">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1. </w:t>
      </w:r>
      <w:r>
        <w:rPr>
          <w:rFonts w:ascii="Arial" w:hAnsi="Arial" w:cs="Arial"/>
          <w:bCs/>
          <w:color w:val="000000"/>
          <w:lang w:val="uk-UA"/>
        </w:rPr>
        <w:t xml:space="preserve"> Одужання</w:t>
      </w:r>
      <w:r w:rsidRPr="00D920E7">
        <w:rPr>
          <w:rFonts w:ascii="Arial" w:hAnsi="Arial" w:cs="Arial"/>
          <w:bCs/>
          <w:color w:val="000000"/>
        </w:rPr>
        <w:t xml:space="preserve"> до </w:t>
      </w:r>
      <w:r>
        <w:rPr>
          <w:rFonts w:ascii="Arial" w:hAnsi="Arial" w:cs="Arial"/>
          <w:bCs/>
          <w:color w:val="000000"/>
          <w:lang w:val="uk-UA"/>
        </w:rPr>
        <w:t>завершення</w:t>
      </w:r>
      <w:r w:rsidRPr="00D920E7">
        <w:rPr>
          <w:rFonts w:ascii="Arial" w:hAnsi="Arial" w:cs="Arial"/>
          <w:bCs/>
          <w:color w:val="000000"/>
        </w:rPr>
        <w:t xml:space="preserve"> дослідження - 120 тижнів.</w:t>
      </w:r>
    </w:p>
    <w:p w14:paraId="1D4311BC" w14:textId="4919F1E5" w:rsidR="00E568A1" w:rsidRPr="00D920E7" w:rsidRDefault="00E568A1" w:rsidP="00D920E7">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2. </w:t>
      </w:r>
      <w:r>
        <w:rPr>
          <w:rFonts w:ascii="Arial" w:hAnsi="Arial" w:cs="Arial"/>
          <w:bCs/>
          <w:color w:val="000000"/>
          <w:lang w:val="uk-UA"/>
        </w:rPr>
        <w:t xml:space="preserve"> </w:t>
      </w:r>
      <w:r w:rsidR="00561ECC">
        <w:rPr>
          <w:rFonts w:ascii="Arial" w:hAnsi="Arial" w:cs="Arial"/>
          <w:bCs/>
          <w:color w:val="000000"/>
        </w:rPr>
        <w:t xml:space="preserve">Серйозні побічні реакції під час фази дослідження </w:t>
      </w:r>
      <w:r w:rsidRPr="00D920E7">
        <w:rPr>
          <w:rFonts w:ascii="Arial" w:hAnsi="Arial" w:cs="Arial"/>
          <w:bCs/>
          <w:color w:val="000000"/>
        </w:rPr>
        <w:t>протягом 24 тижнів</w:t>
      </w:r>
      <w:r w:rsidR="00561ECC">
        <w:rPr>
          <w:rFonts w:ascii="Arial" w:hAnsi="Arial" w:cs="Arial"/>
          <w:bCs/>
          <w:color w:val="000000"/>
        </w:rPr>
        <w:t xml:space="preserve"> </w:t>
      </w:r>
      <w:r w:rsidR="00561ECC" w:rsidRPr="00D920E7">
        <w:rPr>
          <w:rFonts w:ascii="Arial" w:hAnsi="Arial" w:cs="Arial"/>
          <w:bCs/>
          <w:color w:val="000000"/>
        </w:rPr>
        <w:t>лікування</w:t>
      </w:r>
      <w:r w:rsidRPr="00D920E7">
        <w:rPr>
          <w:rFonts w:ascii="Arial" w:hAnsi="Arial" w:cs="Arial"/>
          <w:bCs/>
          <w:color w:val="000000"/>
        </w:rPr>
        <w:t>.</w:t>
      </w:r>
    </w:p>
    <w:p w14:paraId="310C1B16" w14:textId="77777777" w:rsidR="00E568A1" w:rsidRPr="00D920E7" w:rsidRDefault="00E568A1" w:rsidP="00D920E7">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3. </w:t>
      </w:r>
      <w:r>
        <w:rPr>
          <w:rFonts w:ascii="Arial" w:hAnsi="Arial" w:cs="Arial"/>
          <w:bCs/>
          <w:color w:val="000000"/>
          <w:lang w:val="uk-UA"/>
        </w:rPr>
        <w:t xml:space="preserve"> </w:t>
      </w:r>
      <w:r w:rsidRPr="00D920E7">
        <w:rPr>
          <w:rFonts w:ascii="Arial" w:hAnsi="Arial" w:cs="Arial"/>
          <w:bCs/>
          <w:color w:val="000000"/>
        </w:rPr>
        <w:t>Смертність.</w:t>
      </w:r>
    </w:p>
    <w:p w14:paraId="3877E0E7" w14:textId="57FD4FA5" w:rsidR="00E568A1" w:rsidRPr="00D920E7" w:rsidRDefault="00E568A1" w:rsidP="00D920E7">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4. </w:t>
      </w:r>
      <w:r>
        <w:rPr>
          <w:rFonts w:ascii="Arial" w:hAnsi="Arial" w:cs="Arial"/>
          <w:bCs/>
          <w:color w:val="000000"/>
          <w:lang w:val="uk-UA"/>
        </w:rPr>
        <w:t xml:space="preserve"> </w:t>
      </w:r>
      <w:r w:rsidRPr="00D920E7">
        <w:rPr>
          <w:rFonts w:ascii="Arial" w:hAnsi="Arial" w:cs="Arial"/>
          <w:bCs/>
          <w:color w:val="000000"/>
        </w:rPr>
        <w:t xml:space="preserve">Час </w:t>
      </w:r>
      <w:r>
        <w:rPr>
          <w:rFonts w:ascii="Arial" w:hAnsi="Arial" w:cs="Arial"/>
          <w:bCs/>
          <w:color w:val="000000"/>
          <w:lang w:val="uk-UA"/>
        </w:rPr>
        <w:t>конверсії</w:t>
      </w:r>
      <w:r w:rsidR="00561ECC">
        <w:rPr>
          <w:rFonts w:ascii="Arial" w:hAnsi="Arial" w:cs="Arial"/>
          <w:bCs/>
          <w:color w:val="000000"/>
        </w:rPr>
        <w:t xml:space="preserve"> культури більше</w:t>
      </w:r>
      <w:r w:rsidRPr="00D920E7">
        <w:rPr>
          <w:rFonts w:ascii="Arial" w:hAnsi="Arial" w:cs="Arial"/>
          <w:bCs/>
          <w:color w:val="000000"/>
        </w:rPr>
        <w:t xml:space="preserve"> 24 тижнів.</w:t>
      </w:r>
    </w:p>
    <w:p w14:paraId="69FBC373" w14:textId="77777777" w:rsidR="00E568A1" w:rsidRPr="00A81BDF" w:rsidRDefault="00E568A1" w:rsidP="00D920E7">
      <w:pPr>
        <w:autoSpaceDE w:val="0"/>
        <w:autoSpaceDN w:val="0"/>
        <w:adjustRightInd w:val="0"/>
        <w:spacing w:after="0" w:line="240" w:lineRule="auto"/>
        <w:jc w:val="both"/>
        <w:rPr>
          <w:rFonts w:ascii="Arial" w:hAnsi="Arial" w:cs="Arial"/>
          <w:bCs/>
          <w:color w:val="000000"/>
        </w:rPr>
      </w:pPr>
      <w:r w:rsidRPr="00A81BDF">
        <w:rPr>
          <w:rFonts w:ascii="Arial" w:hAnsi="Arial" w:cs="Arial"/>
          <w:bCs/>
          <w:color w:val="000000"/>
        </w:rPr>
        <w:t xml:space="preserve">5. </w:t>
      </w:r>
      <w:r>
        <w:rPr>
          <w:rFonts w:ascii="Arial" w:hAnsi="Arial" w:cs="Arial"/>
          <w:bCs/>
          <w:color w:val="000000"/>
          <w:lang w:val="uk-UA"/>
        </w:rPr>
        <w:t xml:space="preserve"> </w:t>
      </w:r>
      <w:r w:rsidRPr="00A81BDF">
        <w:rPr>
          <w:rFonts w:ascii="Arial" w:hAnsi="Arial" w:cs="Arial"/>
          <w:bCs/>
          <w:color w:val="000000"/>
        </w:rPr>
        <w:t>Конверсія культури на 24</w:t>
      </w:r>
      <w:r>
        <w:rPr>
          <w:rFonts w:ascii="Arial" w:hAnsi="Arial" w:cs="Arial"/>
          <w:bCs/>
          <w:color w:val="000000"/>
          <w:lang w:val="uk-UA"/>
        </w:rPr>
        <w:t>-му</w:t>
      </w:r>
      <w:r w:rsidRPr="00A81BDF">
        <w:rPr>
          <w:rFonts w:ascii="Arial" w:hAnsi="Arial" w:cs="Arial"/>
          <w:bCs/>
          <w:color w:val="000000"/>
        </w:rPr>
        <w:t xml:space="preserve"> тижні.</w:t>
      </w:r>
    </w:p>
    <w:p w14:paraId="7A860231" w14:textId="17436809" w:rsidR="00E568A1" w:rsidRPr="00A81BDF" w:rsidRDefault="00E568A1" w:rsidP="00EE2639">
      <w:pPr>
        <w:autoSpaceDE w:val="0"/>
        <w:autoSpaceDN w:val="0"/>
        <w:adjustRightInd w:val="0"/>
        <w:spacing w:after="0" w:line="240" w:lineRule="auto"/>
        <w:rPr>
          <w:rFonts w:ascii="Arial" w:hAnsi="Arial" w:cs="Arial"/>
          <w:bCs/>
          <w:color w:val="000000"/>
        </w:rPr>
      </w:pPr>
      <w:r>
        <w:rPr>
          <w:rFonts w:ascii="Arial" w:hAnsi="Arial" w:cs="Arial"/>
          <w:bCs/>
          <w:color w:val="000000"/>
        </w:rPr>
        <w:t>6.</w:t>
      </w:r>
      <w:r>
        <w:rPr>
          <w:rFonts w:ascii="Arial" w:hAnsi="Arial" w:cs="Arial"/>
          <w:bCs/>
          <w:color w:val="000000"/>
          <w:lang w:val="uk-UA"/>
        </w:rPr>
        <w:t xml:space="preserve">  </w:t>
      </w:r>
      <w:r w:rsidRPr="00A81BDF">
        <w:rPr>
          <w:rFonts w:ascii="Arial" w:hAnsi="Arial" w:cs="Arial"/>
          <w:bCs/>
          <w:color w:val="000000"/>
        </w:rPr>
        <w:t>Набута стійк</w:t>
      </w:r>
      <w:r w:rsidR="00561ECC">
        <w:rPr>
          <w:rFonts w:ascii="Arial" w:hAnsi="Arial" w:cs="Arial"/>
          <w:bCs/>
          <w:color w:val="000000"/>
        </w:rPr>
        <w:t xml:space="preserve">ість до препаратів другого ряду </w:t>
      </w:r>
      <w:r w:rsidRPr="00A81BDF">
        <w:rPr>
          <w:rFonts w:ascii="Arial" w:hAnsi="Arial" w:cs="Arial"/>
          <w:bCs/>
          <w:color w:val="000000"/>
        </w:rPr>
        <w:t xml:space="preserve">(фторхінолони, аміноглікозиди та капреоміцин) через 72 </w:t>
      </w:r>
      <w:r w:rsidRPr="000F7574">
        <w:rPr>
          <w:rFonts w:ascii="Arial" w:hAnsi="Arial" w:cs="Arial"/>
          <w:bCs/>
          <w:color w:val="000000"/>
        </w:rPr>
        <w:t>тижні.</w:t>
      </w:r>
    </w:p>
    <w:p w14:paraId="7922C199" w14:textId="77777777" w:rsidR="00863A45" w:rsidRDefault="00863A45" w:rsidP="009B51D9">
      <w:pPr>
        <w:autoSpaceDE w:val="0"/>
        <w:autoSpaceDN w:val="0"/>
        <w:adjustRightInd w:val="0"/>
        <w:spacing w:after="0" w:line="240" w:lineRule="auto"/>
        <w:jc w:val="both"/>
        <w:outlineLvl w:val="0"/>
        <w:rPr>
          <w:rFonts w:ascii="Arial" w:hAnsi="Arial" w:cs="Arial"/>
          <w:b/>
          <w:bCs/>
          <w:color w:val="000000"/>
          <w:sz w:val="28"/>
          <w:szCs w:val="28"/>
          <w:lang w:val="uk-UA"/>
        </w:rPr>
      </w:pPr>
    </w:p>
    <w:p w14:paraId="7FC044D3" w14:textId="77777777" w:rsidR="00E568A1" w:rsidRPr="00A32EE6"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A32EE6">
        <w:rPr>
          <w:rFonts w:ascii="Arial" w:hAnsi="Arial" w:cs="Arial"/>
          <w:b/>
          <w:bCs/>
          <w:color w:val="6A2041"/>
          <w:sz w:val="28"/>
          <w:szCs w:val="28"/>
          <w:lang w:val="uk-UA"/>
        </w:rPr>
        <w:t>Стислий виклад доступних даних</w:t>
      </w:r>
    </w:p>
    <w:p w14:paraId="456A0970" w14:textId="77777777" w:rsidR="00863A45" w:rsidRDefault="00863A45" w:rsidP="0037724F">
      <w:pPr>
        <w:autoSpaceDE w:val="0"/>
        <w:autoSpaceDN w:val="0"/>
        <w:adjustRightInd w:val="0"/>
        <w:spacing w:after="0" w:line="240" w:lineRule="auto"/>
        <w:jc w:val="both"/>
        <w:rPr>
          <w:rFonts w:ascii="Arial" w:hAnsi="Arial" w:cs="Arial"/>
          <w:color w:val="000000"/>
          <w:lang w:val="uk-UA"/>
        </w:rPr>
      </w:pPr>
    </w:p>
    <w:p w14:paraId="1396690A" w14:textId="72309608" w:rsidR="00E568A1" w:rsidRPr="00C461DE" w:rsidRDefault="00D04448"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Дані, які отримала ВООЗ щодо бедаквіліну є </w:t>
      </w:r>
      <w:r w:rsidRPr="00C461DE">
        <w:rPr>
          <w:rFonts w:ascii="Arial" w:hAnsi="Arial" w:cs="Arial"/>
          <w:color w:val="000000"/>
          <w:lang w:val="uk-UA"/>
        </w:rPr>
        <w:t>результат</w:t>
      </w:r>
      <w:r>
        <w:rPr>
          <w:rFonts w:ascii="Arial" w:hAnsi="Arial" w:cs="Arial"/>
          <w:color w:val="000000"/>
          <w:lang w:val="uk-UA"/>
        </w:rPr>
        <w:t>ом</w:t>
      </w:r>
      <w:r w:rsidRPr="00C461DE">
        <w:rPr>
          <w:rFonts w:ascii="Arial" w:hAnsi="Arial" w:cs="Arial"/>
          <w:color w:val="000000"/>
          <w:lang w:val="uk-UA"/>
        </w:rPr>
        <w:t xml:space="preserve"> проведення серії досліджень і випробув</w:t>
      </w:r>
      <w:r>
        <w:rPr>
          <w:rFonts w:ascii="Arial" w:hAnsi="Arial" w:cs="Arial"/>
          <w:color w:val="000000"/>
          <w:lang w:val="uk-UA"/>
        </w:rPr>
        <w:t>ань препарату оприлюдненні виробником разом з висновками</w:t>
      </w:r>
      <w:r w:rsidRPr="00C461DE">
        <w:rPr>
          <w:rFonts w:ascii="Arial" w:hAnsi="Arial" w:cs="Arial"/>
          <w:color w:val="000000"/>
          <w:lang w:val="uk-UA"/>
        </w:rPr>
        <w:t xml:space="preserve"> кінцев</w:t>
      </w:r>
      <w:r>
        <w:rPr>
          <w:rFonts w:ascii="Arial" w:hAnsi="Arial" w:cs="Arial"/>
          <w:color w:val="000000"/>
          <w:lang w:val="uk-UA"/>
        </w:rPr>
        <w:t>их результатів досліджень бедаквіліну</w:t>
      </w:r>
      <w:r w:rsidR="00E568A1" w:rsidRPr="00C461DE">
        <w:rPr>
          <w:rFonts w:ascii="Arial" w:hAnsi="Arial" w:cs="Arial"/>
          <w:color w:val="000000"/>
          <w:lang w:val="uk-UA"/>
        </w:rPr>
        <w:t xml:space="preserve">. Головні висновки щодо </w:t>
      </w:r>
      <w:r>
        <w:rPr>
          <w:rFonts w:ascii="Arial" w:hAnsi="Arial" w:cs="Arial"/>
          <w:color w:val="000000"/>
          <w:lang w:val="uk-UA"/>
        </w:rPr>
        <w:t xml:space="preserve">його </w:t>
      </w:r>
      <w:r w:rsidR="00E568A1" w:rsidRPr="00C461DE">
        <w:rPr>
          <w:rFonts w:ascii="Arial" w:hAnsi="Arial" w:cs="Arial"/>
          <w:color w:val="000000"/>
          <w:lang w:val="uk-UA"/>
        </w:rPr>
        <w:t xml:space="preserve">ефективності та безпеки </w:t>
      </w:r>
      <w:r>
        <w:rPr>
          <w:rFonts w:ascii="Arial" w:hAnsi="Arial" w:cs="Arial"/>
          <w:color w:val="000000"/>
          <w:lang w:val="uk-UA"/>
        </w:rPr>
        <w:t xml:space="preserve">застосування були зроблені після проведення </w:t>
      </w:r>
      <w:r w:rsidR="00E568A1" w:rsidRPr="00C461DE">
        <w:rPr>
          <w:rFonts w:ascii="Arial" w:hAnsi="Arial" w:cs="Arial"/>
          <w:color w:val="000000"/>
          <w:lang w:val="uk-UA"/>
        </w:rPr>
        <w:t>двох етапів випробувань Фази IIb: (1)</w:t>
      </w:r>
      <w:r w:rsidR="00F329F4">
        <w:rPr>
          <w:rFonts w:ascii="Arial" w:hAnsi="Arial" w:cs="Arial"/>
          <w:color w:val="000000"/>
          <w:lang w:val="uk-UA"/>
        </w:rPr>
        <w:t xml:space="preserve"> C208, двоетапне випробування, де перший етап був експериментальним дослідженням, а 2-й </w:t>
      </w:r>
      <w:r w:rsidR="00E568A1" w:rsidRPr="00C461DE">
        <w:rPr>
          <w:rFonts w:ascii="Arial" w:hAnsi="Arial" w:cs="Arial"/>
          <w:color w:val="000000"/>
          <w:lang w:val="uk-UA"/>
        </w:rPr>
        <w:t>представляв собою багатоцентрове, стратифіковане, рандомі</w:t>
      </w:r>
      <w:r w:rsidR="00FC3EA0">
        <w:rPr>
          <w:rFonts w:ascii="Arial" w:hAnsi="Arial" w:cs="Arial"/>
          <w:color w:val="000000"/>
          <w:lang w:val="uk-UA"/>
        </w:rPr>
        <w:t xml:space="preserve">зоване, подвійне сліпе плацебо </w:t>
      </w:r>
      <w:r w:rsidR="00E568A1" w:rsidRPr="00C461DE">
        <w:rPr>
          <w:rFonts w:ascii="Arial" w:hAnsi="Arial" w:cs="Arial"/>
          <w:color w:val="000000"/>
          <w:lang w:val="uk-UA"/>
        </w:rPr>
        <w:t>контрол</w:t>
      </w:r>
      <w:r w:rsidR="00576037">
        <w:rPr>
          <w:rFonts w:ascii="Arial" w:hAnsi="Arial" w:cs="Arial"/>
          <w:color w:val="000000"/>
          <w:lang w:val="uk-UA"/>
        </w:rPr>
        <w:t>ьоване дослідження</w:t>
      </w:r>
      <w:r w:rsidR="00F329F4">
        <w:rPr>
          <w:rFonts w:ascii="Arial" w:hAnsi="Arial" w:cs="Arial"/>
          <w:color w:val="000000"/>
          <w:lang w:val="uk-UA"/>
        </w:rPr>
        <w:t xml:space="preserve">, яке вважається </w:t>
      </w:r>
      <w:r w:rsidR="00576037">
        <w:rPr>
          <w:rFonts w:ascii="Arial" w:hAnsi="Arial" w:cs="Arial"/>
          <w:color w:val="000000"/>
          <w:lang w:val="uk-UA"/>
        </w:rPr>
        <w:t>основним</w:t>
      </w:r>
      <w:r w:rsidR="00F329F4">
        <w:rPr>
          <w:rFonts w:ascii="Arial" w:hAnsi="Arial" w:cs="Arial"/>
          <w:color w:val="000000"/>
          <w:lang w:val="uk-UA"/>
        </w:rPr>
        <w:t>, що доводить ефективність препарату</w:t>
      </w:r>
      <w:r w:rsidR="00E568A1" w:rsidRPr="00C461DE">
        <w:rPr>
          <w:rFonts w:ascii="Arial" w:hAnsi="Arial" w:cs="Arial"/>
          <w:color w:val="000000"/>
          <w:lang w:val="uk-UA"/>
        </w:rPr>
        <w:t xml:space="preserve">; та  (2) C209, </w:t>
      </w:r>
      <w:r w:rsidR="004131F0" w:rsidRPr="004131F0">
        <w:rPr>
          <w:rFonts w:ascii="Arial" w:hAnsi="Arial" w:cs="Arial"/>
          <w:color w:val="000000"/>
          <w:lang w:val="uk-UA"/>
        </w:rPr>
        <w:t>непорівняльне</w:t>
      </w:r>
      <w:r w:rsidR="004131F0">
        <w:rPr>
          <w:rFonts w:ascii="Arial" w:hAnsi="Arial" w:cs="Arial"/>
          <w:color w:val="000000"/>
          <w:lang w:val="uk-UA"/>
        </w:rPr>
        <w:t>,</w:t>
      </w:r>
      <w:r w:rsidR="004131F0" w:rsidRPr="004131F0">
        <w:rPr>
          <w:rFonts w:ascii="Arial" w:hAnsi="Arial" w:cs="Arial"/>
          <w:color w:val="000000"/>
          <w:lang w:val="uk-UA"/>
        </w:rPr>
        <w:t xml:space="preserve"> </w:t>
      </w:r>
      <w:r w:rsidR="004131F0" w:rsidRPr="00C461DE">
        <w:rPr>
          <w:rFonts w:ascii="Arial" w:hAnsi="Arial" w:cs="Arial"/>
          <w:color w:val="000000"/>
          <w:lang w:val="uk-UA"/>
        </w:rPr>
        <w:t>відкрите</w:t>
      </w:r>
      <w:r w:rsidR="004131F0" w:rsidRPr="004131F0">
        <w:rPr>
          <w:rFonts w:ascii="Arial" w:hAnsi="Arial" w:cs="Arial"/>
          <w:color w:val="000000"/>
          <w:lang w:val="uk-UA"/>
        </w:rPr>
        <w:t xml:space="preserve"> когортне дослідження</w:t>
      </w:r>
      <w:r w:rsidR="00E568A1" w:rsidRPr="00C461DE">
        <w:rPr>
          <w:rFonts w:ascii="Arial" w:hAnsi="Arial" w:cs="Arial"/>
          <w:color w:val="000000"/>
          <w:lang w:val="uk-UA"/>
        </w:rPr>
        <w:t>.</w:t>
      </w:r>
    </w:p>
    <w:p w14:paraId="0C485B55" w14:textId="77777777" w:rsidR="00E568A1" w:rsidRPr="00D81B66" w:rsidRDefault="00E568A1" w:rsidP="0037724F">
      <w:pPr>
        <w:autoSpaceDE w:val="0"/>
        <w:autoSpaceDN w:val="0"/>
        <w:adjustRightInd w:val="0"/>
        <w:spacing w:after="0" w:line="240" w:lineRule="auto"/>
        <w:jc w:val="both"/>
        <w:rPr>
          <w:rFonts w:ascii="Arial" w:hAnsi="Arial" w:cs="Arial"/>
          <w:color w:val="6A2041"/>
          <w:sz w:val="24"/>
          <w:szCs w:val="24"/>
          <w:lang w:val="uk-UA"/>
        </w:rPr>
      </w:pPr>
    </w:p>
    <w:p w14:paraId="4EE49648" w14:textId="4FCAD5A5" w:rsidR="00E568A1" w:rsidRPr="00D81B66" w:rsidRDefault="00E568A1" w:rsidP="0037724F">
      <w:pPr>
        <w:autoSpaceDE w:val="0"/>
        <w:autoSpaceDN w:val="0"/>
        <w:adjustRightInd w:val="0"/>
        <w:spacing w:after="0" w:line="240" w:lineRule="auto"/>
        <w:jc w:val="both"/>
        <w:rPr>
          <w:rFonts w:ascii="Arial" w:hAnsi="Arial" w:cs="Arial"/>
          <w:b/>
          <w:bCs/>
          <w:i/>
          <w:iCs/>
          <w:color w:val="6A2041"/>
          <w:sz w:val="24"/>
          <w:szCs w:val="24"/>
        </w:rPr>
      </w:pPr>
      <w:r w:rsidRPr="00D81B66">
        <w:rPr>
          <w:rFonts w:ascii="Arial" w:hAnsi="Arial" w:cs="Arial"/>
          <w:b/>
          <w:bCs/>
          <w:i/>
          <w:iCs/>
          <w:color w:val="6A2041"/>
          <w:sz w:val="24"/>
          <w:szCs w:val="24"/>
        </w:rPr>
        <w:t>1. Док</w:t>
      </w:r>
      <w:r w:rsidR="00D81B66">
        <w:rPr>
          <w:rFonts w:ascii="Arial" w:hAnsi="Arial" w:cs="Arial"/>
          <w:b/>
          <w:bCs/>
          <w:i/>
          <w:iCs/>
          <w:color w:val="6A2041"/>
          <w:sz w:val="24"/>
          <w:szCs w:val="24"/>
        </w:rPr>
        <w:t>ази ефективності бедаквіліну у</w:t>
      </w:r>
      <w:r w:rsidRPr="00D81B66">
        <w:rPr>
          <w:rFonts w:ascii="Arial" w:hAnsi="Arial" w:cs="Arial"/>
          <w:b/>
          <w:bCs/>
          <w:i/>
          <w:iCs/>
          <w:color w:val="6A2041"/>
          <w:sz w:val="24"/>
          <w:szCs w:val="24"/>
        </w:rPr>
        <w:t xml:space="preserve"> лікуванні </w:t>
      </w:r>
      <w:r w:rsidR="009B51D9" w:rsidRPr="00D81B66">
        <w:rPr>
          <w:rFonts w:ascii="Arial" w:hAnsi="Arial" w:cs="Arial"/>
          <w:b/>
          <w:bCs/>
          <w:i/>
          <w:iCs/>
          <w:color w:val="6A2041"/>
          <w:sz w:val="24"/>
          <w:szCs w:val="24"/>
        </w:rPr>
        <w:t>МР ТБ</w:t>
      </w:r>
    </w:p>
    <w:p w14:paraId="32663028" w14:textId="77777777" w:rsidR="00E568A1" w:rsidRPr="00B45988" w:rsidRDefault="00E568A1" w:rsidP="0037724F">
      <w:pPr>
        <w:autoSpaceDE w:val="0"/>
        <w:autoSpaceDN w:val="0"/>
        <w:adjustRightInd w:val="0"/>
        <w:spacing w:after="0" w:line="240" w:lineRule="auto"/>
        <w:jc w:val="both"/>
        <w:rPr>
          <w:rFonts w:ascii="Arial" w:hAnsi="Arial" w:cs="Arial"/>
          <w:b/>
          <w:bCs/>
          <w:i/>
          <w:iCs/>
          <w:color w:val="000000"/>
          <w:sz w:val="24"/>
          <w:szCs w:val="24"/>
          <w:lang w:val="uk-UA"/>
        </w:rPr>
      </w:pPr>
    </w:p>
    <w:p w14:paraId="15524CDE" w14:textId="2A514847" w:rsidR="00E568A1" w:rsidRDefault="00E568A1" w:rsidP="0037724F">
      <w:pPr>
        <w:autoSpaceDE w:val="0"/>
        <w:autoSpaceDN w:val="0"/>
        <w:adjustRightInd w:val="0"/>
        <w:spacing w:after="0" w:line="240" w:lineRule="auto"/>
        <w:jc w:val="both"/>
        <w:rPr>
          <w:rFonts w:ascii="Arial" w:hAnsi="Arial" w:cs="Arial"/>
          <w:color w:val="000000"/>
          <w:lang w:val="uk-UA"/>
        </w:rPr>
      </w:pPr>
      <w:r w:rsidRPr="00C461DE">
        <w:rPr>
          <w:rFonts w:ascii="Arial" w:hAnsi="Arial" w:cs="Arial"/>
          <w:color w:val="000000"/>
          <w:lang w:val="uk-UA"/>
        </w:rPr>
        <w:t xml:space="preserve">Для </w:t>
      </w:r>
      <w:r w:rsidR="00576037">
        <w:rPr>
          <w:rFonts w:ascii="Arial" w:hAnsi="Arial" w:cs="Arial"/>
          <w:color w:val="000000"/>
          <w:lang w:val="uk-UA"/>
        </w:rPr>
        <w:t xml:space="preserve">другої стадії дослідження С028, </w:t>
      </w:r>
      <w:r w:rsidR="00FC3EA0">
        <w:rPr>
          <w:rFonts w:ascii="Arial" w:hAnsi="Arial" w:cs="Arial"/>
          <w:color w:val="000000"/>
          <w:lang w:val="uk-UA"/>
        </w:rPr>
        <w:t>були віді</w:t>
      </w:r>
      <w:r w:rsidR="00576037">
        <w:rPr>
          <w:rFonts w:ascii="Arial" w:hAnsi="Arial" w:cs="Arial"/>
          <w:color w:val="000000"/>
          <w:lang w:val="uk-UA"/>
        </w:rPr>
        <w:t>брані учасники</w:t>
      </w:r>
      <w:r w:rsidRPr="00C461DE">
        <w:rPr>
          <w:rFonts w:ascii="Arial" w:hAnsi="Arial" w:cs="Arial"/>
          <w:color w:val="000000"/>
          <w:lang w:val="uk-UA"/>
        </w:rPr>
        <w:t xml:space="preserve"> віком від 18 до 65 років зі щойно діагностовани</w:t>
      </w:r>
      <w:r w:rsidR="00D4561A">
        <w:rPr>
          <w:rFonts w:ascii="Arial" w:hAnsi="Arial" w:cs="Arial"/>
          <w:color w:val="000000"/>
          <w:lang w:val="uk-UA"/>
        </w:rPr>
        <w:t xml:space="preserve">м легеневим </w:t>
      </w:r>
      <w:r w:rsidR="009B51D9">
        <w:rPr>
          <w:rFonts w:ascii="Arial" w:hAnsi="Arial" w:cs="Arial"/>
          <w:color w:val="000000"/>
          <w:lang w:val="uk-UA"/>
        </w:rPr>
        <w:t>МР ТБ</w:t>
      </w:r>
      <w:r w:rsidR="00D4561A">
        <w:rPr>
          <w:rFonts w:ascii="Arial" w:hAnsi="Arial" w:cs="Arial"/>
          <w:color w:val="000000"/>
          <w:lang w:val="uk-UA"/>
        </w:rPr>
        <w:t xml:space="preserve"> з 15 сайтів </w:t>
      </w:r>
      <w:r w:rsidRPr="00C461DE">
        <w:rPr>
          <w:rFonts w:ascii="Arial" w:hAnsi="Arial" w:cs="Arial"/>
          <w:color w:val="000000"/>
          <w:lang w:val="uk-UA"/>
        </w:rPr>
        <w:t xml:space="preserve">Бразилії, Індії, Латвії, Перу, </w:t>
      </w:r>
      <w:r w:rsidR="00D4561A">
        <w:rPr>
          <w:rFonts w:ascii="Arial" w:hAnsi="Arial" w:cs="Arial"/>
          <w:color w:val="000000"/>
          <w:lang w:val="uk-UA"/>
        </w:rPr>
        <w:t>Філіппін</w:t>
      </w:r>
      <w:r w:rsidRPr="00C461DE">
        <w:rPr>
          <w:rFonts w:ascii="Arial" w:hAnsi="Arial" w:cs="Arial"/>
          <w:color w:val="000000"/>
          <w:lang w:val="uk-UA"/>
        </w:rPr>
        <w:t>,</w:t>
      </w:r>
      <w:r w:rsidR="00576037">
        <w:rPr>
          <w:rFonts w:ascii="Arial" w:hAnsi="Arial" w:cs="Arial"/>
          <w:color w:val="000000"/>
          <w:lang w:val="uk-UA"/>
        </w:rPr>
        <w:t xml:space="preserve"> Російської Федерації, Південної Афри</w:t>
      </w:r>
      <w:r w:rsidR="00D4561A">
        <w:rPr>
          <w:rFonts w:ascii="Arial" w:hAnsi="Arial" w:cs="Arial"/>
          <w:color w:val="000000"/>
          <w:lang w:val="uk-UA"/>
        </w:rPr>
        <w:t>ки та Таїланду</w:t>
      </w:r>
      <w:r w:rsidR="00576037">
        <w:rPr>
          <w:rFonts w:ascii="Arial" w:hAnsi="Arial" w:cs="Arial"/>
          <w:color w:val="000000"/>
          <w:lang w:val="uk-UA"/>
        </w:rPr>
        <w:t>; інші 160 учасників</w:t>
      </w:r>
      <w:r w:rsidRPr="00C461DE">
        <w:rPr>
          <w:rFonts w:ascii="Arial" w:hAnsi="Arial" w:cs="Arial"/>
          <w:color w:val="000000"/>
          <w:lang w:val="uk-UA"/>
        </w:rPr>
        <w:t xml:space="preserve"> бу</w:t>
      </w:r>
      <w:r w:rsidR="00576037">
        <w:rPr>
          <w:rFonts w:ascii="Arial" w:hAnsi="Arial" w:cs="Arial"/>
          <w:color w:val="000000"/>
          <w:lang w:val="uk-UA"/>
        </w:rPr>
        <w:t>ли відібрані рандомно</w:t>
      </w:r>
      <w:r w:rsidRPr="00C461DE">
        <w:rPr>
          <w:rFonts w:ascii="Arial" w:hAnsi="Arial" w:cs="Arial"/>
          <w:color w:val="000000"/>
          <w:lang w:val="uk-UA"/>
        </w:rPr>
        <w:t xml:space="preserve"> для прийому бедаквіліну або плацебо, а також</w:t>
      </w:r>
      <w:r w:rsidR="0058301D">
        <w:rPr>
          <w:rFonts w:ascii="Arial" w:hAnsi="Arial" w:cs="Arial"/>
          <w:color w:val="000000"/>
          <w:lang w:val="uk-UA"/>
        </w:rPr>
        <w:t xml:space="preserve"> для проведення фонового режиму</w:t>
      </w:r>
      <w:r w:rsidR="00576037">
        <w:rPr>
          <w:rFonts w:ascii="Arial" w:hAnsi="Arial" w:cs="Arial"/>
          <w:color w:val="000000"/>
          <w:lang w:val="uk-UA"/>
        </w:rPr>
        <w:t xml:space="preserve"> лікування MР TБ </w:t>
      </w:r>
      <w:r w:rsidR="0058301D">
        <w:rPr>
          <w:rFonts w:ascii="Arial" w:hAnsi="Arial" w:cs="Arial"/>
          <w:color w:val="000000"/>
          <w:lang w:val="uk-UA"/>
        </w:rPr>
        <w:t>п'ятьма препаратами, який</w:t>
      </w:r>
      <w:r w:rsidRPr="00C461DE">
        <w:rPr>
          <w:rFonts w:ascii="Arial" w:hAnsi="Arial" w:cs="Arial"/>
          <w:color w:val="000000"/>
          <w:lang w:val="uk-UA"/>
        </w:rPr>
        <w:t xml:space="preserve"> складалася з різних комбінацій фторхінолонів, аміноглікозидів, піразинаміду, етіонаміда, етамбутолу т</w:t>
      </w:r>
      <w:r w:rsidR="0058301D">
        <w:rPr>
          <w:rFonts w:ascii="Arial" w:hAnsi="Arial" w:cs="Arial"/>
          <w:color w:val="000000"/>
          <w:lang w:val="uk-UA"/>
        </w:rPr>
        <w:t>а/або циклосерину/</w:t>
      </w:r>
      <w:r w:rsidRPr="00C461DE">
        <w:rPr>
          <w:rFonts w:ascii="Arial" w:hAnsi="Arial" w:cs="Arial"/>
          <w:color w:val="000000"/>
          <w:lang w:val="uk-UA"/>
        </w:rPr>
        <w:t>терізідону. Бедаквілін давали по 400 мг на добу протягом перших 2 тижнів, а потім по 200 мг тричі на тиждень протягом решти 22 тижнів.</w:t>
      </w:r>
      <w:r>
        <w:rPr>
          <w:rFonts w:ascii="Arial" w:hAnsi="Arial" w:cs="Arial"/>
          <w:color w:val="000000"/>
          <w:lang w:val="uk-UA"/>
        </w:rPr>
        <w:t xml:space="preserve"> </w:t>
      </w:r>
      <w:r w:rsidR="0058301D">
        <w:rPr>
          <w:rFonts w:ascii="Arial" w:hAnsi="Arial" w:cs="Arial"/>
          <w:color w:val="000000"/>
          <w:lang w:val="uk-UA"/>
        </w:rPr>
        <w:t>Через 24 тижні</w:t>
      </w:r>
      <w:r w:rsidR="00576037">
        <w:rPr>
          <w:rFonts w:ascii="Arial" w:hAnsi="Arial" w:cs="Arial"/>
          <w:color w:val="000000"/>
          <w:lang w:val="uk-UA"/>
        </w:rPr>
        <w:t xml:space="preserve">, учасники дослідження </w:t>
      </w:r>
      <w:r w:rsidRPr="004D090B">
        <w:rPr>
          <w:rFonts w:ascii="Arial" w:hAnsi="Arial" w:cs="Arial"/>
          <w:color w:val="000000"/>
          <w:lang w:val="uk-UA"/>
        </w:rPr>
        <w:t>продо</w:t>
      </w:r>
      <w:r w:rsidR="00761600">
        <w:rPr>
          <w:rFonts w:ascii="Arial" w:hAnsi="Arial" w:cs="Arial"/>
          <w:color w:val="000000"/>
          <w:lang w:val="uk-UA"/>
        </w:rPr>
        <w:t>вжували фоновий режим</w:t>
      </w:r>
      <w:r w:rsidRPr="004D090B">
        <w:rPr>
          <w:rFonts w:ascii="Arial" w:hAnsi="Arial" w:cs="Arial"/>
          <w:color w:val="000000"/>
          <w:lang w:val="uk-UA"/>
        </w:rPr>
        <w:t xml:space="preserve"> </w:t>
      </w:r>
      <w:r w:rsidR="00576037">
        <w:rPr>
          <w:rFonts w:ascii="Arial" w:hAnsi="Arial" w:cs="Arial"/>
          <w:color w:val="000000"/>
          <w:lang w:val="uk-UA"/>
        </w:rPr>
        <w:t xml:space="preserve">лікування </w:t>
      </w:r>
      <w:r w:rsidR="009B51D9">
        <w:rPr>
          <w:rFonts w:ascii="Arial" w:hAnsi="Arial" w:cs="Arial"/>
          <w:color w:val="000000"/>
          <w:lang w:val="uk-UA"/>
        </w:rPr>
        <w:t>МР ТБ</w:t>
      </w:r>
      <w:r w:rsidR="00576037">
        <w:rPr>
          <w:rFonts w:ascii="Arial" w:hAnsi="Arial" w:cs="Arial"/>
          <w:color w:val="000000"/>
          <w:lang w:val="uk-UA"/>
        </w:rPr>
        <w:t xml:space="preserve"> </w:t>
      </w:r>
      <w:r w:rsidRPr="004D090B">
        <w:rPr>
          <w:rFonts w:ascii="Arial" w:hAnsi="Arial" w:cs="Arial"/>
          <w:color w:val="000000"/>
          <w:lang w:val="uk-UA"/>
        </w:rPr>
        <w:t xml:space="preserve">до досягнення </w:t>
      </w:r>
      <w:r w:rsidR="00761600">
        <w:rPr>
          <w:rFonts w:ascii="Arial" w:hAnsi="Arial" w:cs="Arial"/>
          <w:color w:val="000000"/>
          <w:lang w:val="uk-UA"/>
        </w:rPr>
        <w:t xml:space="preserve">тривалості у </w:t>
      </w:r>
      <w:r w:rsidRPr="004D090B">
        <w:rPr>
          <w:rFonts w:ascii="Arial" w:hAnsi="Arial" w:cs="Arial"/>
          <w:color w:val="000000"/>
          <w:lang w:val="uk-UA"/>
        </w:rPr>
        <w:t xml:space="preserve">96 тижнів. Загальна тривалість дослідження становила 120 тижнів. Проміжний аналіз </w:t>
      </w:r>
      <w:r w:rsidR="00761600">
        <w:rPr>
          <w:rFonts w:ascii="Arial" w:hAnsi="Arial" w:cs="Arial"/>
          <w:color w:val="000000"/>
          <w:lang w:val="uk-UA"/>
        </w:rPr>
        <w:t>був зроблений</w:t>
      </w:r>
      <w:r w:rsidRPr="004D090B">
        <w:rPr>
          <w:rFonts w:ascii="Arial" w:hAnsi="Arial" w:cs="Arial"/>
          <w:color w:val="000000"/>
          <w:lang w:val="uk-UA"/>
        </w:rPr>
        <w:t xml:space="preserve"> через 72 тижні.</w:t>
      </w:r>
    </w:p>
    <w:p w14:paraId="115BAE6D" w14:textId="77777777" w:rsidR="00E568A1" w:rsidRPr="00761600" w:rsidRDefault="00E568A1" w:rsidP="0037724F">
      <w:pPr>
        <w:autoSpaceDE w:val="0"/>
        <w:autoSpaceDN w:val="0"/>
        <w:adjustRightInd w:val="0"/>
        <w:spacing w:after="0" w:line="240" w:lineRule="auto"/>
        <w:jc w:val="both"/>
        <w:rPr>
          <w:rFonts w:ascii="Arial" w:hAnsi="Arial" w:cs="Arial"/>
          <w:color w:val="000000"/>
        </w:rPr>
      </w:pPr>
    </w:p>
    <w:p w14:paraId="0E52D03E" w14:textId="6644F6D8" w:rsidR="00863A45" w:rsidRPr="00331B56" w:rsidRDefault="00E568A1" w:rsidP="00863A45">
      <w:pPr>
        <w:autoSpaceDE w:val="0"/>
        <w:autoSpaceDN w:val="0"/>
        <w:adjustRightInd w:val="0"/>
        <w:spacing w:after="0" w:line="240" w:lineRule="auto"/>
        <w:jc w:val="both"/>
        <w:rPr>
          <w:rFonts w:ascii="Arial" w:hAnsi="Arial" w:cs="Arial"/>
          <w:color w:val="000000"/>
          <w:szCs w:val="14"/>
          <w:lang w:val="uk-UA"/>
        </w:rPr>
      </w:pPr>
      <w:r w:rsidRPr="00331B56">
        <w:rPr>
          <w:rFonts w:ascii="Arial" w:hAnsi="Arial" w:cs="Arial"/>
          <w:color w:val="000000"/>
          <w:lang w:val="uk-UA"/>
        </w:rPr>
        <w:t xml:space="preserve">Первинною кінцевою точкою </w:t>
      </w:r>
      <w:r w:rsidR="00576037">
        <w:rPr>
          <w:rFonts w:ascii="Arial" w:hAnsi="Arial" w:cs="Arial"/>
          <w:color w:val="000000"/>
          <w:lang w:val="uk-UA"/>
        </w:rPr>
        <w:t>оцінки</w:t>
      </w:r>
      <w:r w:rsidR="0064151E">
        <w:rPr>
          <w:rFonts w:ascii="Arial" w:hAnsi="Arial" w:cs="Arial"/>
          <w:color w:val="000000"/>
          <w:lang w:val="uk-UA"/>
        </w:rPr>
        <w:t xml:space="preserve"> другої</w:t>
      </w:r>
      <w:r w:rsidRPr="00331B56">
        <w:rPr>
          <w:rFonts w:ascii="Arial" w:hAnsi="Arial" w:cs="Arial"/>
          <w:color w:val="000000"/>
          <w:lang w:val="uk-UA"/>
        </w:rPr>
        <w:t xml:space="preserve"> стадіі </w:t>
      </w:r>
      <w:r w:rsidR="0064151E">
        <w:rPr>
          <w:rFonts w:ascii="Arial" w:hAnsi="Arial" w:cs="Arial"/>
          <w:color w:val="000000"/>
          <w:lang w:val="uk-UA"/>
        </w:rPr>
        <w:t xml:space="preserve"> дослідження </w:t>
      </w:r>
      <w:r w:rsidR="00576037">
        <w:rPr>
          <w:rFonts w:ascii="Arial" w:hAnsi="Arial" w:cs="Arial"/>
          <w:color w:val="000000"/>
          <w:lang w:val="uk-UA"/>
        </w:rPr>
        <w:t>C208  був час конверсії культури мокротиння на</w:t>
      </w:r>
      <w:r w:rsidRPr="00331B56">
        <w:rPr>
          <w:rFonts w:ascii="Arial" w:hAnsi="Arial" w:cs="Arial"/>
          <w:color w:val="000000"/>
          <w:lang w:val="uk-UA"/>
        </w:rPr>
        <w:t xml:space="preserve"> </w:t>
      </w:r>
      <w:r w:rsidR="001673A3">
        <w:rPr>
          <w:rFonts w:ascii="Arial" w:hAnsi="Arial" w:cs="Arial"/>
          <w:color w:val="000000"/>
          <w:lang w:val="uk-UA"/>
        </w:rPr>
        <w:t>комерційно доступній</w:t>
      </w:r>
      <w:r w:rsidR="00576037">
        <w:rPr>
          <w:rFonts w:ascii="Arial" w:hAnsi="Arial" w:cs="Arial"/>
          <w:color w:val="000000"/>
          <w:lang w:val="uk-UA"/>
        </w:rPr>
        <w:t xml:space="preserve"> рідкій культурі </w:t>
      </w:r>
      <w:r w:rsidRPr="00331B56">
        <w:rPr>
          <w:rFonts w:ascii="Arial" w:hAnsi="Arial" w:cs="Arial"/>
          <w:color w:val="000000"/>
          <w:lang w:val="uk-UA"/>
        </w:rPr>
        <w:t>(MGIT ™ Система виявлення мікобактерій</w:t>
      </w:r>
      <w:r w:rsidR="00582472">
        <w:rPr>
          <w:rFonts w:ascii="Arial" w:hAnsi="Arial" w:cs="Arial"/>
          <w:color w:val="000000"/>
          <w:lang w:val="uk-UA"/>
        </w:rPr>
        <w:t xml:space="preserve"> </w:t>
      </w:r>
      <w:r w:rsidR="00582472" w:rsidRPr="00331B56">
        <w:rPr>
          <w:rFonts w:ascii="Arial" w:hAnsi="Arial" w:cs="Arial"/>
          <w:color w:val="000000"/>
          <w:lang w:val="uk-UA"/>
        </w:rPr>
        <w:t>960</w:t>
      </w:r>
      <w:r w:rsidRPr="00331B56">
        <w:rPr>
          <w:rFonts w:ascii="Arial" w:hAnsi="Arial" w:cs="Arial"/>
          <w:color w:val="000000"/>
          <w:lang w:val="uk-UA"/>
        </w:rPr>
        <w:t xml:space="preserve">, </w:t>
      </w:r>
      <w:r w:rsidR="00582472">
        <w:rPr>
          <w:rFonts w:ascii="Arial" w:hAnsi="Arial" w:cs="Arial"/>
          <w:color w:val="000000"/>
          <w:lang w:val="uk-UA"/>
        </w:rPr>
        <w:t>Діа</w:t>
      </w:r>
      <w:r w:rsidR="00582472" w:rsidRPr="00331B56">
        <w:rPr>
          <w:rFonts w:ascii="Arial" w:hAnsi="Arial" w:cs="Arial"/>
          <w:color w:val="000000"/>
          <w:lang w:val="uk-UA"/>
        </w:rPr>
        <w:t xml:space="preserve">гностичні Системи </w:t>
      </w:r>
      <w:r w:rsidRPr="00331B56">
        <w:rPr>
          <w:rFonts w:ascii="Arial" w:hAnsi="Arial" w:cs="Arial"/>
          <w:color w:val="000000"/>
          <w:lang w:val="uk-UA"/>
        </w:rPr>
        <w:t>Becton Dickinson, США) протягом 24 тижнів досліджуваного пе</w:t>
      </w:r>
      <w:r w:rsidR="0064151E">
        <w:rPr>
          <w:rFonts w:ascii="Arial" w:hAnsi="Arial" w:cs="Arial"/>
          <w:color w:val="000000"/>
          <w:lang w:val="uk-UA"/>
        </w:rPr>
        <w:t>ріоду лікування (ті, хто припини</w:t>
      </w:r>
      <w:r w:rsidRPr="00331B56">
        <w:rPr>
          <w:rFonts w:ascii="Arial" w:hAnsi="Arial" w:cs="Arial"/>
          <w:color w:val="000000"/>
          <w:lang w:val="uk-UA"/>
        </w:rPr>
        <w:t xml:space="preserve">в </w:t>
      </w:r>
      <w:r w:rsidR="00863A45" w:rsidRPr="00331B56">
        <w:rPr>
          <w:rFonts w:ascii="Arial" w:hAnsi="Arial" w:cs="Arial"/>
          <w:color w:val="000000"/>
          <w:lang w:val="uk-UA"/>
        </w:rPr>
        <w:t>участь у випробуванні до 24 тижня вважал</w:t>
      </w:r>
      <w:r w:rsidR="00116801">
        <w:rPr>
          <w:rFonts w:ascii="Arial" w:hAnsi="Arial" w:cs="Arial"/>
          <w:color w:val="000000"/>
          <w:lang w:val="uk-UA"/>
        </w:rPr>
        <w:t>ися такими</w:t>
      </w:r>
      <w:r w:rsidR="002E0764">
        <w:rPr>
          <w:rFonts w:ascii="Arial" w:hAnsi="Arial" w:cs="Arial"/>
          <w:color w:val="000000"/>
          <w:lang w:val="uk-UA"/>
        </w:rPr>
        <w:t xml:space="preserve">, у яких </w:t>
      </w:r>
      <w:r w:rsidR="002E0764" w:rsidRPr="002E0764">
        <w:rPr>
          <w:rFonts w:ascii="Arial" w:hAnsi="Arial" w:cs="Arial"/>
          <w:color w:val="000000"/>
          <w:lang w:val="uk-UA"/>
        </w:rPr>
        <w:t>не відбулася конверсія мокротиння за культурою</w:t>
      </w:r>
      <w:r w:rsidR="00E2532C">
        <w:rPr>
          <w:rFonts w:ascii="Arial" w:hAnsi="Arial" w:cs="Arial"/>
          <w:color w:val="000000"/>
          <w:lang w:val="uk-UA"/>
        </w:rPr>
        <w:t xml:space="preserve">). </w:t>
      </w:r>
      <w:r w:rsidR="00EE02A5">
        <w:rPr>
          <w:rFonts w:ascii="Arial" w:hAnsi="Arial" w:cs="Arial"/>
          <w:color w:val="000000"/>
          <w:lang w:val="uk-UA"/>
        </w:rPr>
        <w:t>Б</w:t>
      </w:r>
      <w:r w:rsidR="00E2532C">
        <w:rPr>
          <w:rFonts w:ascii="Arial" w:hAnsi="Arial" w:cs="Arial"/>
          <w:color w:val="000000"/>
          <w:lang w:val="uk-UA"/>
        </w:rPr>
        <w:t xml:space="preserve">ув </w:t>
      </w:r>
      <w:r w:rsidR="00EE02A5">
        <w:rPr>
          <w:rFonts w:ascii="Arial" w:hAnsi="Arial" w:cs="Arial"/>
          <w:color w:val="000000"/>
          <w:lang w:val="uk-UA"/>
        </w:rPr>
        <w:t>проведений</w:t>
      </w:r>
      <w:r w:rsidR="00E2532C">
        <w:rPr>
          <w:rFonts w:ascii="Arial" w:hAnsi="Arial" w:cs="Arial"/>
          <w:color w:val="000000"/>
          <w:lang w:val="uk-UA"/>
        </w:rPr>
        <w:t xml:space="preserve"> </w:t>
      </w:r>
      <w:r w:rsidR="00EE02A5">
        <w:rPr>
          <w:rFonts w:ascii="Arial" w:hAnsi="Arial" w:cs="Arial"/>
          <w:color w:val="000000"/>
          <w:lang w:val="uk-UA"/>
        </w:rPr>
        <w:t>аналіз модифікованої</w:t>
      </w:r>
      <w:r w:rsidR="00E2532C">
        <w:rPr>
          <w:rFonts w:ascii="Arial" w:hAnsi="Arial" w:cs="Arial"/>
          <w:color w:val="000000"/>
          <w:lang w:val="uk-UA"/>
        </w:rPr>
        <w:t xml:space="preserve"> популяції</w:t>
      </w:r>
      <w:r w:rsidR="00E2532C" w:rsidRPr="00E2532C">
        <w:rPr>
          <w:rFonts w:ascii="Arial" w:hAnsi="Arial" w:cs="Arial"/>
          <w:color w:val="000000"/>
          <w:lang w:val="uk-UA"/>
        </w:rPr>
        <w:t xml:space="preserve"> пацієнтів, які почали лікування </w:t>
      </w:r>
      <w:r w:rsidR="00863A45" w:rsidRPr="00331B56">
        <w:rPr>
          <w:rFonts w:ascii="Arial" w:hAnsi="Arial" w:cs="Arial"/>
          <w:color w:val="000000"/>
          <w:lang w:val="uk-UA"/>
        </w:rPr>
        <w:t>(</w:t>
      </w:r>
      <w:r w:rsidR="00E2532C" w:rsidRPr="00E2532C">
        <w:rPr>
          <w:rFonts w:ascii="Arial" w:hAnsi="Arial" w:cs="Arial"/>
          <w:color w:val="000000"/>
          <w:lang w:val="uk-UA"/>
        </w:rPr>
        <w:t>modi</w:t>
      </w:r>
      <w:r w:rsidR="00E2532C">
        <w:rPr>
          <w:rFonts w:ascii="Arial" w:hAnsi="Arial" w:cs="Arial"/>
          <w:color w:val="000000"/>
          <w:lang w:val="uk-UA"/>
        </w:rPr>
        <w:t>fied intention-to-treat</w:t>
      </w:r>
      <w:r w:rsidR="00E53F42">
        <w:rPr>
          <w:rFonts w:ascii="Arial" w:hAnsi="Arial" w:cs="Arial"/>
          <w:color w:val="000000"/>
          <w:lang w:val="uk-UA"/>
        </w:rPr>
        <w:t>-</w:t>
      </w:r>
      <w:r w:rsidR="00863A45" w:rsidRPr="00331B56">
        <w:rPr>
          <w:rFonts w:ascii="Arial" w:hAnsi="Arial" w:cs="Arial"/>
          <w:color w:val="000000"/>
          <w:lang w:val="uk-UA"/>
        </w:rPr>
        <w:t>mITT)</w:t>
      </w:r>
      <w:r w:rsidR="00863A45">
        <w:rPr>
          <w:rFonts w:ascii="Arial" w:hAnsi="Arial" w:cs="Arial"/>
          <w:color w:val="000000"/>
          <w:lang w:val="uk-UA"/>
        </w:rPr>
        <w:t xml:space="preserve"> </w:t>
      </w:r>
      <w:r w:rsidR="00863A45" w:rsidRPr="00331B56">
        <w:rPr>
          <w:rFonts w:ascii="Arial" w:hAnsi="Arial" w:cs="Arial"/>
          <w:color w:val="000000"/>
          <w:lang w:val="uk-UA"/>
        </w:rPr>
        <w:t>у кількості 132 осіб (по 66 у кожній з груп бедаквіліну та плацебо)</w:t>
      </w:r>
      <w:r w:rsidR="00863A45" w:rsidRPr="00C15C15">
        <w:rPr>
          <w:rFonts w:ascii="Arial" w:hAnsi="Arial" w:cs="Arial"/>
          <w:b/>
          <w:color w:val="000000"/>
          <w:lang w:val="uk-UA"/>
        </w:rPr>
        <w:t xml:space="preserve"> </w:t>
      </w:r>
      <w:r w:rsidR="00863A45" w:rsidRPr="00C15C15">
        <w:rPr>
          <w:rFonts w:ascii="Arial" w:hAnsi="Arial" w:cs="Arial"/>
          <w:b/>
          <w:color w:val="000000"/>
          <w:vertAlign w:val="superscript"/>
          <w:lang w:val="uk-UA"/>
        </w:rPr>
        <w:t>3</w:t>
      </w:r>
      <w:r w:rsidR="00863A45" w:rsidRPr="00331B56">
        <w:rPr>
          <w:rFonts w:ascii="Arial" w:hAnsi="Arial" w:cs="Arial"/>
          <w:color w:val="000000"/>
          <w:lang w:val="uk-UA"/>
        </w:rPr>
        <w:t>.</w:t>
      </w:r>
    </w:p>
    <w:p w14:paraId="6982A99F" w14:textId="1E70F3E9" w:rsidR="0064151E" w:rsidRPr="0064151E" w:rsidRDefault="005B4476" w:rsidP="0064151E">
      <w:pPr>
        <w:autoSpaceDE w:val="0"/>
        <w:autoSpaceDN w:val="0"/>
        <w:adjustRightInd w:val="0"/>
        <w:spacing w:after="0" w:line="240" w:lineRule="auto"/>
        <w:jc w:val="both"/>
        <w:rPr>
          <w:rFonts w:ascii="Arial" w:hAnsi="Arial" w:cs="Arial"/>
          <w:color w:val="000000"/>
          <w:sz w:val="20"/>
          <w:szCs w:val="20"/>
          <w:lang w:val="uk-UA"/>
        </w:rPr>
      </w:pPr>
      <w:r>
        <w:rPr>
          <w:rFonts w:ascii="Arial" w:hAnsi="Arial" w:cs="Arial"/>
          <w:color w:val="000000"/>
          <w:sz w:val="20"/>
          <w:szCs w:val="20"/>
          <w:lang w:val="uk-UA"/>
        </w:rPr>
        <w:t>_______________________________________</w:t>
      </w:r>
    </w:p>
    <w:p w14:paraId="41E152CA" w14:textId="78C4E978" w:rsidR="0064151E" w:rsidRPr="00863A45" w:rsidRDefault="0064151E" w:rsidP="0064151E">
      <w:pPr>
        <w:autoSpaceDE w:val="0"/>
        <w:autoSpaceDN w:val="0"/>
        <w:adjustRightInd w:val="0"/>
        <w:spacing w:after="0" w:line="240" w:lineRule="auto"/>
        <w:jc w:val="both"/>
        <w:rPr>
          <w:rFonts w:ascii="Arial" w:hAnsi="Arial" w:cs="Arial"/>
          <w:color w:val="000000"/>
          <w:sz w:val="16"/>
          <w:szCs w:val="16"/>
          <w:lang w:val="uk-UA"/>
        </w:rPr>
      </w:pPr>
      <w:r w:rsidRPr="00C15C15">
        <w:rPr>
          <w:rFonts w:ascii="Arial" w:hAnsi="Arial" w:cs="Arial"/>
          <w:b/>
          <w:color w:val="000000"/>
          <w:sz w:val="16"/>
          <w:szCs w:val="16"/>
          <w:vertAlign w:val="superscript"/>
          <w:lang w:val="en-US"/>
        </w:rPr>
        <w:t>2</w:t>
      </w:r>
      <w:r w:rsidRPr="00863A45">
        <w:rPr>
          <w:rFonts w:ascii="Arial" w:hAnsi="Arial" w:cs="Arial"/>
          <w:color w:val="000000"/>
          <w:sz w:val="16"/>
          <w:szCs w:val="16"/>
          <w:lang w:val="en-US"/>
        </w:rPr>
        <w:t xml:space="preserve"> </w:t>
      </w:r>
      <w:r w:rsidR="005E4614" w:rsidRPr="005E4614">
        <w:rPr>
          <w:rFonts w:ascii="Arial" w:hAnsi="Arial" w:cs="Arial"/>
          <w:color w:val="000000"/>
          <w:sz w:val="16"/>
          <w:szCs w:val="16"/>
        </w:rPr>
        <w:t>Процес PICO є методом, що використовується у практиці заснованій на доказах для формування відповідей на питання щодо клінічної практики або будь-яких питань пов'язаних з наданням медичних послуг у сфері охорони здоров'я.</w:t>
      </w:r>
    </w:p>
    <w:p w14:paraId="122B33DA" w14:textId="42AB27BD" w:rsidR="00863A45" w:rsidRPr="00863A45" w:rsidRDefault="00863A45" w:rsidP="00863A45">
      <w:pPr>
        <w:autoSpaceDE w:val="0"/>
        <w:autoSpaceDN w:val="0"/>
        <w:adjustRightInd w:val="0"/>
        <w:spacing w:after="0" w:line="240" w:lineRule="auto"/>
        <w:jc w:val="both"/>
        <w:rPr>
          <w:rFonts w:ascii="Arial" w:hAnsi="Arial" w:cs="Arial"/>
          <w:color w:val="000000"/>
          <w:sz w:val="16"/>
          <w:szCs w:val="16"/>
          <w:lang w:val="uk-UA"/>
        </w:rPr>
      </w:pPr>
      <w:r w:rsidRPr="00C15C15">
        <w:rPr>
          <w:rFonts w:ascii="Arial" w:hAnsi="Arial" w:cs="Arial"/>
          <w:b/>
          <w:color w:val="000000"/>
          <w:sz w:val="16"/>
          <w:szCs w:val="16"/>
          <w:vertAlign w:val="superscript"/>
          <w:lang w:val="uk-UA"/>
        </w:rPr>
        <w:t xml:space="preserve">3 </w:t>
      </w:r>
      <w:r w:rsidRPr="00863A45">
        <w:rPr>
          <w:rFonts w:ascii="Arial" w:hAnsi="Arial" w:cs="Arial"/>
          <w:color w:val="000000"/>
          <w:sz w:val="16"/>
          <w:szCs w:val="16"/>
          <w:lang w:val="uk-UA"/>
        </w:rPr>
        <w:t xml:space="preserve"> мІТТ-</w:t>
      </w:r>
      <w:r w:rsidR="00EE02A5">
        <w:rPr>
          <w:rFonts w:ascii="Arial" w:hAnsi="Arial" w:cs="Arial"/>
          <w:color w:val="000000"/>
          <w:sz w:val="16"/>
          <w:szCs w:val="16"/>
          <w:lang w:val="uk-UA"/>
        </w:rPr>
        <w:t xml:space="preserve">були </w:t>
      </w:r>
      <w:r w:rsidRPr="00863A45">
        <w:rPr>
          <w:rFonts w:ascii="Arial" w:hAnsi="Arial" w:cs="Arial"/>
          <w:color w:val="000000"/>
          <w:sz w:val="16"/>
          <w:szCs w:val="16"/>
          <w:lang w:val="uk-UA"/>
        </w:rPr>
        <w:t>в</w:t>
      </w:r>
      <w:r w:rsidR="00EE02A5">
        <w:rPr>
          <w:rFonts w:ascii="Arial" w:hAnsi="Arial" w:cs="Arial"/>
          <w:color w:val="000000"/>
          <w:sz w:val="16"/>
          <w:szCs w:val="16"/>
          <w:lang w:val="uk-UA"/>
        </w:rPr>
        <w:t>иключені учасники з чутливим ТБ</w:t>
      </w:r>
      <w:r w:rsidRPr="00863A45">
        <w:rPr>
          <w:rFonts w:ascii="Arial" w:hAnsi="Arial" w:cs="Arial"/>
          <w:color w:val="000000"/>
          <w:sz w:val="16"/>
          <w:szCs w:val="16"/>
          <w:lang w:val="uk-UA"/>
        </w:rPr>
        <w:t xml:space="preserve">, з </w:t>
      </w:r>
      <w:r w:rsidR="00EE02A5">
        <w:rPr>
          <w:rFonts w:ascii="Arial" w:hAnsi="Arial" w:cs="Arial"/>
          <w:color w:val="000000"/>
          <w:sz w:val="16"/>
          <w:szCs w:val="16"/>
          <w:lang w:val="uk-UA"/>
        </w:rPr>
        <w:t xml:space="preserve">РР ТБ </w:t>
      </w:r>
      <w:r w:rsidRPr="00863A45">
        <w:rPr>
          <w:rFonts w:ascii="Arial" w:hAnsi="Arial" w:cs="Arial"/>
          <w:color w:val="000000"/>
          <w:sz w:val="16"/>
          <w:szCs w:val="16"/>
          <w:lang w:val="uk-UA"/>
        </w:rPr>
        <w:t>або непідтвер</w:t>
      </w:r>
      <w:r w:rsidR="00EE02A5">
        <w:rPr>
          <w:rFonts w:ascii="Arial" w:hAnsi="Arial" w:cs="Arial"/>
          <w:color w:val="000000"/>
          <w:sz w:val="16"/>
          <w:szCs w:val="16"/>
          <w:lang w:val="uk-UA"/>
        </w:rPr>
        <w:t>дженим</w:t>
      </w:r>
      <w:r w:rsidRPr="00863A45">
        <w:rPr>
          <w:rFonts w:ascii="Arial" w:hAnsi="Arial" w:cs="Arial"/>
          <w:color w:val="000000"/>
          <w:sz w:val="16"/>
          <w:szCs w:val="16"/>
          <w:lang w:val="uk-UA"/>
        </w:rPr>
        <w:t xml:space="preserve"> МР ТБ (на основі тестів</w:t>
      </w:r>
      <w:r w:rsidR="00EE02A5">
        <w:rPr>
          <w:rFonts w:ascii="Arial" w:hAnsi="Arial" w:cs="Arial"/>
          <w:color w:val="000000"/>
          <w:sz w:val="16"/>
          <w:szCs w:val="16"/>
          <w:lang w:val="uk-UA"/>
        </w:rPr>
        <w:t xml:space="preserve"> на чутливість</w:t>
      </w:r>
      <w:r w:rsidRPr="00863A45">
        <w:rPr>
          <w:rFonts w:ascii="Arial" w:hAnsi="Arial" w:cs="Arial"/>
          <w:color w:val="000000"/>
          <w:sz w:val="16"/>
          <w:szCs w:val="16"/>
          <w:lang w:val="uk-UA"/>
        </w:rPr>
        <w:t xml:space="preserve">, проведених до рандомізації), або </w:t>
      </w:r>
      <w:r w:rsidR="00EE02A5">
        <w:rPr>
          <w:rFonts w:ascii="Arial" w:hAnsi="Arial" w:cs="Arial"/>
          <w:color w:val="000000"/>
          <w:sz w:val="16"/>
          <w:szCs w:val="16"/>
          <w:lang w:val="uk-UA"/>
        </w:rPr>
        <w:t xml:space="preserve">учасники у яких </w:t>
      </w:r>
      <w:r w:rsidR="00ED76B2">
        <w:rPr>
          <w:rFonts w:ascii="Arial" w:hAnsi="Arial" w:cs="Arial"/>
          <w:color w:val="000000"/>
          <w:sz w:val="16"/>
          <w:szCs w:val="16"/>
          <w:lang w:val="uk-UA"/>
        </w:rPr>
        <w:t xml:space="preserve">на етапі включення були відсутні </w:t>
      </w:r>
      <w:r w:rsidRPr="00863A45">
        <w:rPr>
          <w:rFonts w:ascii="Arial" w:hAnsi="Arial" w:cs="Arial"/>
          <w:color w:val="000000"/>
          <w:sz w:val="16"/>
          <w:szCs w:val="16"/>
          <w:lang w:val="uk-UA"/>
        </w:rPr>
        <w:t xml:space="preserve">або </w:t>
      </w:r>
      <w:r w:rsidR="00ED76B2">
        <w:rPr>
          <w:rFonts w:ascii="Arial" w:hAnsi="Arial" w:cs="Arial"/>
          <w:color w:val="000000"/>
          <w:sz w:val="16"/>
          <w:szCs w:val="16"/>
          <w:lang w:val="uk-UA"/>
        </w:rPr>
        <w:t>негативні культури</w:t>
      </w:r>
      <w:r w:rsidRPr="00863A45">
        <w:rPr>
          <w:rFonts w:ascii="Arial" w:hAnsi="Arial" w:cs="Arial"/>
          <w:color w:val="000000"/>
          <w:sz w:val="16"/>
          <w:szCs w:val="16"/>
          <w:lang w:val="uk-UA"/>
        </w:rPr>
        <w:t>, або які були</w:t>
      </w:r>
      <w:r w:rsidR="00ED76B2">
        <w:rPr>
          <w:rFonts w:ascii="Arial" w:hAnsi="Arial" w:cs="Arial"/>
          <w:color w:val="000000"/>
          <w:sz w:val="16"/>
          <w:szCs w:val="16"/>
          <w:lang w:val="uk-UA"/>
        </w:rPr>
        <w:t xml:space="preserve"> позитивними на етапі включення</w:t>
      </w:r>
      <w:r w:rsidRPr="00863A45">
        <w:rPr>
          <w:rFonts w:ascii="Arial" w:hAnsi="Arial" w:cs="Arial"/>
          <w:color w:val="000000"/>
          <w:sz w:val="16"/>
          <w:szCs w:val="16"/>
          <w:lang w:val="uk-UA"/>
        </w:rPr>
        <w:t xml:space="preserve">, але не мали </w:t>
      </w:r>
      <w:r w:rsidR="00ED76B2">
        <w:rPr>
          <w:rFonts w:ascii="Arial" w:hAnsi="Arial" w:cs="Arial"/>
          <w:color w:val="000000"/>
          <w:sz w:val="16"/>
          <w:szCs w:val="16"/>
          <w:lang w:val="uk-UA"/>
        </w:rPr>
        <w:t xml:space="preserve">результатів </w:t>
      </w:r>
      <w:r w:rsidRPr="00863A45">
        <w:rPr>
          <w:rFonts w:ascii="Arial" w:hAnsi="Arial" w:cs="Arial"/>
          <w:color w:val="000000"/>
          <w:sz w:val="16"/>
          <w:szCs w:val="16"/>
          <w:lang w:val="uk-UA"/>
        </w:rPr>
        <w:t>культури</w:t>
      </w:r>
      <w:r w:rsidR="00ED76B2">
        <w:rPr>
          <w:rFonts w:ascii="Arial" w:hAnsi="Arial" w:cs="Arial"/>
          <w:color w:val="000000"/>
          <w:sz w:val="16"/>
          <w:szCs w:val="16"/>
          <w:lang w:val="uk-UA"/>
        </w:rPr>
        <w:t xml:space="preserve"> після етапу включення</w:t>
      </w:r>
      <w:r w:rsidRPr="00863A45">
        <w:rPr>
          <w:rFonts w:ascii="Arial" w:hAnsi="Arial" w:cs="Arial"/>
          <w:color w:val="000000"/>
          <w:sz w:val="16"/>
          <w:szCs w:val="16"/>
          <w:lang w:val="uk-UA"/>
        </w:rPr>
        <w:t>.</w:t>
      </w:r>
    </w:p>
    <w:p w14:paraId="077E450A" w14:textId="77777777" w:rsidR="00863A45" w:rsidRPr="00A60AE1" w:rsidRDefault="00863A45" w:rsidP="0064151E">
      <w:pPr>
        <w:autoSpaceDE w:val="0"/>
        <w:autoSpaceDN w:val="0"/>
        <w:adjustRightInd w:val="0"/>
        <w:spacing w:after="0" w:line="240" w:lineRule="auto"/>
        <w:jc w:val="both"/>
        <w:rPr>
          <w:rFonts w:ascii="Arial" w:hAnsi="Arial" w:cs="Arial"/>
          <w:color w:val="000000"/>
          <w:sz w:val="18"/>
          <w:szCs w:val="18"/>
        </w:rPr>
      </w:pPr>
    </w:p>
    <w:p w14:paraId="7C31F595" w14:textId="77777777" w:rsidR="00E568A1" w:rsidRPr="0064151E" w:rsidRDefault="00E568A1" w:rsidP="005A2026">
      <w:pPr>
        <w:autoSpaceDE w:val="0"/>
        <w:autoSpaceDN w:val="0"/>
        <w:adjustRightInd w:val="0"/>
        <w:spacing w:after="0" w:line="240" w:lineRule="auto"/>
        <w:jc w:val="both"/>
        <w:rPr>
          <w:rFonts w:ascii="Arial" w:hAnsi="Arial" w:cs="Arial"/>
          <w:color w:val="000000"/>
          <w:sz w:val="20"/>
          <w:szCs w:val="20"/>
          <w:lang w:val="uk-UA"/>
        </w:rPr>
      </w:pPr>
    </w:p>
    <w:p w14:paraId="641CFFA9" w14:textId="77777777" w:rsidR="00E568A1" w:rsidRPr="0064151E"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4788E30A" w14:textId="55A87D8D" w:rsidR="00E568A1" w:rsidRPr="008E013F" w:rsidRDefault="005B4476"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lastRenderedPageBreak/>
        <w:t>Середній період</w:t>
      </w:r>
      <w:r w:rsidR="00E568A1" w:rsidRPr="00607801">
        <w:rPr>
          <w:rFonts w:ascii="Arial" w:hAnsi="Arial" w:cs="Arial"/>
          <w:color w:val="000000"/>
          <w:lang w:val="uk-UA"/>
        </w:rPr>
        <w:t xml:space="preserve"> </w:t>
      </w:r>
      <w:r>
        <w:rPr>
          <w:rFonts w:ascii="Arial" w:hAnsi="Arial" w:cs="Arial"/>
          <w:color w:val="000000"/>
          <w:lang w:val="uk-UA"/>
        </w:rPr>
        <w:t>для перетворення</w:t>
      </w:r>
      <w:r w:rsidR="00E568A1" w:rsidRPr="00607801">
        <w:rPr>
          <w:rFonts w:ascii="Arial" w:hAnsi="Arial" w:cs="Arial"/>
          <w:color w:val="000000"/>
          <w:lang w:val="uk-UA"/>
        </w:rPr>
        <w:t xml:space="preserve"> кул</w:t>
      </w:r>
      <w:r>
        <w:rPr>
          <w:rFonts w:ascii="Arial" w:hAnsi="Arial" w:cs="Arial"/>
          <w:color w:val="000000"/>
          <w:lang w:val="uk-UA"/>
        </w:rPr>
        <w:t>ьтури становив 83 дні (95%</w:t>
      </w:r>
      <w:r w:rsidR="00E568A1" w:rsidRPr="00607801">
        <w:rPr>
          <w:rFonts w:ascii="Arial" w:hAnsi="Arial" w:cs="Arial"/>
          <w:color w:val="000000"/>
          <w:lang w:val="uk-UA"/>
        </w:rPr>
        <w:t xml:space="preserve"> </w:t>
      </w:r>
      <w:r w:rsidR="004247BA" w:rsidRPr="00607801">
        <w:rPr>
          <w:rFonts w:ascii="Arial" w:hAnsi="Arial" w:cs="Arial"/>
          <w:color w:val="000000"/>
          <w:lang w:val="uk-UA"/>
        </w:rPr>
        <w:t>довір</w:t>
      </w:r>
      <w:r w:rsidR="004247BA">
        <w:rPr>
          <w:rFonts w:ascii="Arial" w:hAnsi="Arial" w:cs="Arial"/>
          <w:color w:val="000000"/>
          <w:lang w:val="uk-UA"/>
        </w:rPr>
        <w:t>чого інтервалу (далі ДІ)</w:t>
      </w:r>
      <w:r w:rsidR="004247BA" w:rsidRPr="00607801">
        <w:rPr>
          <w:rFonts w:ascii="Arial" w:hAnsi="Arial" w:cs="Arial"/>
          <w:color w:val="000000"/>
          <w:lang w:val="uk-UA"/>
        </w:rPr>
        <w:t>:</w:t>
      </w:r>
      <w:r w:rsidR="004247BA">
        <w:rPr>
          <w:rFonts w:ascii="Arial" w:hAnsi="Arial" w:cs="Arial"/>
          <w:color w:val="000000"/>
          <w:lang w:val="uk-UA"/>
        </w:rPr>
        <w:t xml:space="preserve"> </w:t>
      </w:r>
      <w:r w:rsidR="00E568A1" w:rsidRPr="00607801">
        <w:rPr>
          <w:rFonts w:ascii="Arial" w:hAnsi="Arial" w:cs="Arial"/>
          <w:color w:val="000000"/>
          <w:lang w:val="uk-UA"/>
        </w:rPr>
        <w:t xml:space="preserve">56, 97) у групі бедаквіліну порівняно з 125 днями (95% ДІ: 98, 168) у групі плацебо.  </w:t>
      </w:r>
      <w:r w:rsidR="00837F68">
        <w:rPr>
          <w:rFonts w:ascii="Arial" w:hAnsi="Arial" w:cs="Arial"/>
          <w:color w:val="000000"/>
          <w:lang w:val="uk-UA"/>
        </w:rPr>
        <w:t xml:space="preserve">Спостерігалась вища вірогідність </w:t>
      </w:r>
      <w:r w:rsidR="004247BA">
        <w:rPr>
          <w:rFonts w:ascii="Arial" w:hAnsi="Arial" w:cs="Arial"/>
          <w:color w:val="000000"/>
          <w:lang w:val="uk-UA"/>
        </w:rPr>
        <w:t>більш прискореної конверсії</w:t>
      </w:r>
      <w:r w:rsidR="00E568A1" w:rsidRPr="00607801">
        <w:rPr>
          <w:rFonts w:ascii="Arial" w:hAnsi="Arial" w:cs="Arial"/>
          <w:color w:val="000000"/>
          <w:lang w:val="uk-UA"/>
        </w:rPr>
        <w:t xml:space="preserve"> культури у групі пацієнтів, що приймали бедаквілін у порівнянні з групою, яка приймала плацебо (HR =</w:t>
      </w:r>
      <w:r w:rsidR="00837F68">
        <w:rPr>
          <w:rFonts w:ascii="Arial" w:hAnsi="Arial" w:cs="Arial"/>
          <w:color w:val="000000"/>
          <w:lang w:val="uk-UA"/>
        </w:rPr>
        <w:t xml:space="preserve"> 2,44 [1,57, 3,80], p &lt;0,0001) при використанні моделі</w:t>
      </w:r>
      <w:r w:rsidR="00E568A1" w:rsidRPr="00607801">
        <w:rPr>
          <w:rFonts w:ascii="Arial" w:hAnsi="Arial" w:cs="Arial"/>
          <w:color w:val="000000"/>
          <w:lang w:val="uk-UA"/>
        </w:rPr>
        <w:t xml:space="preserve"> пропорц</w:t>
      </w:r>
      <w:r w:rsidR="004247BA">
        <w:rPr>
          <w:rFonts w:ascii="Arial" w:hAnsi="Arial" w:cs="Arial"/>
          <w:color w:val="000000"/>
          <w:lang w:val="uk-UA"/>
        </w:rPr>
        <w:t xml:space="preserve">ійних ризиків Кокса </w:t>
      </w:r>
      <w:r w:rsidR="004247BA" w:rsidRPr="004247BA">
        <w:rPr>
          <w:rFonts w:ascii="Arial" w:hAnsi="Arial" w:cs="Arial"/>
          <w:color w:val="000000"/>
          <w:highlight w:val="yellow"/>
          <w:lang w:val="uk-UA"/>
        </w:rPr>
        <w:t>(</w:t>
      </w:r>
      <w:r w:rsidR="00D81B66">
        <w:rPr>
          <w:rFonts w:ascii="Arial" w:hAnsi="Arial" w:cs="Arial"/>
          <w:color w:val="000000"/>
          <w:highlight w:val="yellow"/>
        </w:rPr>
        <w:t>з урахуванням кавітаційних каверн</w:t>
      </w:r>
      <w:r w:rsidR="00D81B66" w:rsidRPr="00C3617A">
        <w:rPr>
          <w:rFonts w:ascii="Arial" w:hAnsi="Arial" w:cs="Arial"/>
          <w:color w:val="000000"/>
          <w:highlight w:val="yellow"/>
        </w:rPr>
        <w:t xml:space="preserve"> т</w:t>
      </w:r>
      <w:r w:rsidR="00D81B66" w:rsidRPr="00506777">
        <w:rPr>
          <w:rFonts w:ascii="Arial" w:hAnsi="Arial" w:cs="Arial"/>
          <w:color w:val="000000"/>
          <w:highlight w:val="yellow"/>
        </w:rPr>
        <w:t>а</w:t>
      </w:r>
      <w:r w:rsidR="00D81B66">
        <w:rPr>
          <w:rFonts w:ascii="Arial" w:hAnsi="Arial" w:cs="Arial"/>
          <w:color w:val="000000"/>
          <w:highlight w:val="yellow"/>
          <w:lang w:val="uk-UA"/>
        </w:rPr>
        <w:t xml:space="preserve"> зведеного центру</w:t>
      </w:r>
      <w:r w:rsidR="00E568A1" w:rsidRPr="004247BA">
        <w:rPr>
          <w:rFonts w:ascii="Arial" w:hAnsi="Arial" w:cs="Arial"/>
          <w:color w:val="000000"/>
          <w:highlight w:val="yellow"/>
          <w:lang w:val="uk-UA"/>
        </w:rPr>
        <w:t>).</w:t>
      </w:r>
      <w:r w:rsidR="00E568A1">
        <w:rPr>
          <w:rFonts w:ascii="Arial" w:hAnsi="Arial" w:cs="Arial"/>
          <w:color w:val="000000"/>
          <w:lang w:val="uk-UA"/>
        </w:rPr>
        <w:t xml:space="preserve"> </w:t>
      </w:r>
      <w:r w:rsidR="004247BA">
        <w:rPr>
          <w:rFonts w:ascii="Arial" w:hAnsi="Arial" w:cs="Arial"/>
          <w:color w:val="000000"/>
          <w:lang w:val="uk-UA"/>
        </w:rPr>
        <w:t>Частка учасників</w:t>
      </w:r>
      <w:r w:rsidR="00E568A1" w:rsidRPr="00C07EDB">
        <w:rPr>
          <w:rFonts w:ascii="Arial" w:hAnsi="Arial" w:cs="Arial"/>
          <w:color w:val="000000"/>
          <w:lang w:val="uk-UA"/>
        </w:rPr>
        <w:t xml:space="preserve">, у яких спостерігалась </w:t>
      </w:r>
      <w:r w:rsidR="007130F2">
        <w:rPr>
          <w:rFonts w:ascii="Arial" w:hAnsi="Arial" w:cs="Arial"/>
          <w:color w:val="000000"/>
          <w:lang w:val="uk-UA"/>
        </w:rPr>
        <w:t>конверсія</w:t>
      </w:r>
      <w:r w:rsidR="004247BA">
        <w:rPr>
          <w:rFonts w:ascii="Arial" w:hAnsi="Arial" w:cs="Arial"/>
          <w:color w:val="000000"/>
          <w:lang w:val="uk-UA"/>
        </w:rPr>
        <w:t xml:space="preserve"> культури на 24 </w:t>
      </w:r>
      <w:r w:rsidR="00E568A1" w:rsidRPr="00C07EDB">
        <w:rPr>
          <w:rFonts w:ascii="Arial" w:hAnsi="Arial" w:cs="Arial"/>
          <w:color w:val="000000"/>
          <w:lang w:val="uk-UA"/>
        </w:rPr>
        <w:t>тиж</w:t>
      </w:r>
      <w:r w:rsidR="004247BA">
        <w:rPr>
          <w:rFonts w:ascii="Arial" w:hAnsi="Arial" w:cs="Arial"/>
          <w:color w:val="000000"/>
          <w:lang w:val="uk-UA"/>
        </w:rPr>
        <w:t>н</w:t>
      </w:r>
      <w:r w:rsidR="00E568A1" w:rsidRPr="00C07EDB">
        <w:rPr>
          <w:rFonts w:ascii="Arial" w:hAnsi="Arial" w:cs="Arial"/>
          <w:color w:val="000000"/>
          <w:lang w:val="uk-UA"/>
        </w:rPr>
        <w:t>і (</w:t>
      </w:r>
      <w:r w:rsidR="007130F2">
        <w:rPr>
          <w:rFonts w:ascii="Arial" w:hAnsi="Arial" w:cs="Arial"/>
          <w:color w:val="000000"/>
          <w:lang w:val="uk-UA"/>
        </w:rPr>
        <w:t>додатковий показник</w:t>
      </w:r>
      <w:r w:rsidR="00E568A1" w:rsidRPr="00C07EDB">
        <w:rPr>
          <w:rFonts w:ascii="Arial" w:hAnsi="Arial" w:cs="Arial"/>
          <w:color w:val="000000"/>
          <w:lang w:val="uk-UA"/>
        </w:rPr>
        <w:t xml:space="preserve"> ефективності) склала 78,8% у групі бедаквіліну проти 57,6% у групі плацебо (р = 0,008). Відсоток </w:t>
      </w:r>
      <w:r w:rsidR="007130F2">
        <w:rPr>
          <w:rFonts w:ascii="Arial" w:hAnsi="Arial" w:cs="Arial"/>
          <w:color w:val="000000"/>
          <w:lang w:val="uk-UA"/>
        </w:rPr>
        <w:t>пацієнтів, що відреагували на лікування</w:t>
      </w:r>
      <w:r w:rsidR="00E568A1" w:rsidRPr="00C07EDB">
        <w:rPr>
          <w:rFonts w:ascii="Arial" w:hAnsi="Arial" w:cs="Arial"/>
          <w:color w:val="000000"/>
          <w:lang w:val="uk-UA"/>
        </w:rPr>
        <w:t xml:space="preserve"> на 72 тижні (тобто показник ч</w:t>
      </w:r>
      <w:r w:rsidR="004247BA">
        <w:rPr>
          <w:rFonts w:ascii="Arial" w:hAnsi="Arial" w:cs="Arial"/>
          <w:color w:val="000000"/>
          <w:lang w:val="uk-UA"/>
        </w:rPr>
        <w:t>асу, досягнутий всіма учасниками на 2-й етапі за  проміжним аналізом</w:t>
      </w:r>
      <w:r w:rsidR="00E568A1" w:rsidRPr="00C07EDB">
        <w:rPr>
          <w:rFonts w:ascii="Arial" w:hAnsi="Arial" w:cs="Arial"/>
          <w:color w:val="000000"/>
          <w:lang w:val="uk-UA"/>
        </w:rPr>
        <w:t>)</w:t>
      </w:r>
      <w:r w:rsidR="007130F2">
        <w:rPr>
          <w:rFonts w:ascii="Arial" w:hAnsi="Arial" w:cs="Arial"/>
          <w:color w:val="000000"/>
          <w:lang w:val="uk-UA"/>
        </w:rPr>
        <w:t>,</w:t>
      </w:r>
      <w:r w:rsidR="004247BA">
        <w:rPr>
          <w:rFonts w:ascii="Arial" w:hAnsi="Arial" w:cs="Arial"/>
          <w:color w:val="000000"/>
          <w:lang w:val="uk-UA"/>
        </w:rPr>
        <w:t xml:space="preserve"> склав 71,2% у групі беда</w:t>
      </w:r>
      <w:r w:rsidR="00E568A1" w:rsidRPr="00C07EDB">
        <w:rPr>
          <w:rFonts w:ascii="Arial" w:hAnsi="Arial" w:cs="Arial"/>
          <w:color w:val="000000"/>
          <w:lang w:val="uk-UA"/>
        </w:rPr>
        <w:t>к</w:t>
      </w:r>
      <w:r w:rsidR="004247BA">
        <w:rPr>
          <w:rFonts w:ascii="Arial" w:hAnsi="Arial" w:cs="Arial"/>
          <w:color w:val="000000"/>
          <w:lang w:val="uk-UA"/>
        </w:rPr>
        <w:t>ві</w:t>
      </w:r>
      <w:r w:rsidR="00E568A1" w:rsidRPr="00C07EDB">
        <w:rPr>
          <w:rFonts w:ascii="Arial" w:hAnsi="Arial" w:cs="Arial"/>
          <w:color w:val="000000"/>
          <w:lang w:val="uk-UA"/>
        </w:rPr>
        <w:t>ліну проти 56,1% у групі плацебо (р = 0,069).</w:t>
      </w:r>
      <w:r w:rsidR="00E568A1">
        <w:rPr>
          <w:rFonts w:ascii="Arial" w:hAnsi="Arial" w:cs="Arial"/>
          <w:color w:val="000000"/>
          <w:lang w:val="uk-UA"/>
        </w:rPr>
        <w:t xml:space="preserve"> </w:t>
      </w:r>
      <w:r w:rsidR="007A3264">
        <w:rPr>
          <w:rFonts w:ascii="Arial" w:hAnsi="Arial" w:cs="Arial"/>
          <w:color w:val="000000"/>
          <w:lang w:val="uk-UA"/>
        </w:rPr>
        <w:t xml:space="preserve">Використовуючи всі наявні </w:t>
      </w:r>
      <w:r w:rsidR="00E568A1" w:rsidRPr="008E013F">
        <w:rPr>
          <w:rFonts w:ascii="Arial" w:hAnsi="Arial" w:cs="Arial"/>
          <w:color w:val="000000"/>
          <w:lang w:val="uk-UA"/>
        </w:rPr>
        <w:t>дані щодо ефективності</w:t>
      </w:r>
      <w:r w:rsidR="007A3264">
        <w:rPr>
          <w:rFonts w:ascii="Arial" w:hAnsi="Arial" w:cs="Arial"/>
          <w:color w:val="000000"/>
          <w:lang w:val="uk-UA"/>
        </w:rPr>
        <w:t>, отримані</w:t>
      </w:r>
      <w:r w:rsidR="00E568A1" w:rsidRPr="008E013F">
        <w:rPr>
          <w:rFonts w:ascii="Arial" w:hAnsi="Arial" w:cs="Arial"/>
          <w:color w:val="000000"/>
          <w:lang w:val="uk-UA"/>
        </w:rPr>
        <w:t xml:space="preserve"> до завершення дослідження (120-й тиждень)</w:t>
      </w:r>
      <w:r w:rsidR="007A3264">
        <w:rPr>
          <w:rFonts w:ascii="Arial" w:hAnsi="Arial" w:cs="Arial"/>
          <w:color w:val="000000"/>
          <w:lang w:val="uk-UA"/>
        </w:rPr>
        <w:t>,</w:t>
      </w:r>
      <w:r w:rsidR="00E568A1" w:rsidRPr="008E013F">
        <w:rPr>
          <w:rFonts w:ascii="Arial" w:hAnsi="Arial" w:cs="Arial"/>
          <w:color w:val="000000"/>
          <w:lang w:val="uk-UA"/>
        </w:rPr>
        <w:t xml:space="preserve"> цей відсоток становив 62,1% респондентів групи бедаквіліну та 43,9% у групі плацебо (р = 0,035).</w:t>
      </w:r>
    </w:p>
    <w:p w14:paraId="697ADF01" w14:textId="77777777" w:rsidR="00E568A1" w:rsidRDefault="00E568A1" w:rsidP="0037724F">
      <w:pPr>
        <w:autoSpaceDE w:val="0"/>
        <w:autoSpaceDN w:val="0"/>
        <w:adjustRightInd w:val="0"/>
        <w:spacing w:after="0" w:line="240" w:lineRule="auto"/>
        <w:jc w:val="both"/>
        <w:rPr>
          <w:rFonts w:ascii="Arial" w:hAnsi="Arial" w:cs="Arial"/>
          <w:color w:val="000000"/>
          <w:lang w:val="uk-UA"/>
        </w:rPr>
      </w:pPr>
    </w:p>
    <w:p w14:paraId="29CA2A8B" w14:textId="7D041CB8" w:rsidR="00E568A1" w:rsidRPr="00F41F94" w:rsidRDefault="007A3264"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ЕГ в подальшому оцінила ефективність</w:t>
      </w:r>
      <w:r w:rsidR="00E568A1" w:rsidRPr="00F41F94">
        <w:rPr>
          <w:rFonts w:ascii="Arial" w:hAnsi="Arial" w:cs="Arial"/>
          <w:color w:val="000000"/>
          <w:lang w:val="uk-UA"/>
        </w:rPr>
        <w:t>, використовуючи рекомендовані ВООЗ визначення ефек</w:t>
      </w:r>
      <w:r w:rsidR="004247BA">
        <w:rPr>
          <w:rFonts w:ascii="Arial" w:hAnsi="Arial" w:cs="Arial"/>
          <w:color w:val="000000"/>
          <w:lang w:val="uk-UA"/>
        </w:rPr>
        <w:t xml:space="preserve">тивності лікування, застосовні </w:t>
      </w:r>
      <w:r w:rsidR="00E568A1" w:rsidRPr="00F41F94">
        <w:rPr>
          <w:rFonts w:ascii="Arial" w:hAnsi="Arial" w:cs="Arial"/>
          <w:color w:val="000000"/>
          <w:lang w:val="uk-UA"/>
        </w:rPr>
        <w:t xml:space="preserve">до кінцевих даних </w:t>
      </w:r>
      <w:r w:rsidR="00A360FB">
        <w:rPr>
          <w:rFonts w:ascii="Arial" w:hAnsi="Arial" w:cs="Arial"/>
          <w:color w:val="000000"/>
          <w:lang w:val="uk-UA"/>
        </w:rPr>
        <w:t xml:space="preserve">результатів </w:t>
      </w:r>
      <w:r w:rsidR="004247BA">
        <w:rPr>
          <w:rFonts w:ascii="Arial" w:hAnsi="Arial" w:cs="Arial"/>
          <w:color w:val="000000"/>
          <w:lang w:val="uk-UA"/>
        </w:rPr>
        <w:t xml:space="preserve">на 120 тижні. Частка учасників, </w:t>
      </w:r>
      <w:r w:rsidR="00E568A1" w:rsidRPr="00F41F94">
        <w:rPr>
          <w:rFonts w:ascii="Arial" w:hAnsi="Arial" w:cs="Arial"/>
          <w:color w:val="000000"/>
          <w:lang w:val="uk-UA"/>
        </w:rPr>
        <w:t xml:space="preserve">що </w:t>
      </w:r>
      <w:r w:rsidR="00A360FB">
        <w:rPr>
          <w:rFonts w:ascii="Arial" w:hAnsi="Arial" w:cs="Arial"/>
          <w:color w:val="000000"/>
          <w:lang w:val="uk-UA"/>
        </w:rPr>
        <w:t>одужали</w:t>
      </w:r>
      <w:r w:rsidR="004247BA">
        <w:rPr>
          <w:rFonts w:ascii="Arial" w:hAnsi="Arial" w:cs="Arial"/>
          <w:color w:val="000000"/>
          <w:lang w:val="uk-UA"/>
        </w:rPr>
        <w:t xml:space="preserve"> протягом 120 тижнів, склала 57,6% у групі беда</w:t>
      </w:r>
      <w:r w:rsidR="00E568A1" w:rsidRPr="00F41F94">
        <w:rPr>
          <w:rFonts w:ascii="Arial" w:hAnsi="Arial" w:cs="Arial"/>
          <w:color w:val="000000"/>
          <w:lang w:val="uk-UA"/>
        </w:rPr>
        <w:t>к</w:t>
      </w:r>
      <w:r w:rsidR="004247BA">
        <w:rPr>
          <w:rFonts w:ascii="Arial" w:hAnsi="Arial" w:cs="Arial"/>
          <w:color w:val="000000"/>
          <w:lang w:val="uk-UA"/>
        </w:rPr>
        <w:t>ві</w:t>
      </w:r>
      <w:r w:rsidR="00E568A1" w:rsidRPr="00F41F94">
        <w:rPr>
          <w:rFonts w:ascii="Arial" w:hAnsi="Arial" w:cs="Arial"/>
          <w:color w:val="000000"/>
          <w:lang w:val="uk-UA"/>
        </w:rPr>
        <w:t>ліну проти 31,8% у групі плацебо (р = 0,003).</w:t>
      </w:r>
    </w:p>
    <w:p w14:paraId="4BCECFAA" w14:textId="77777777" w:rsidR="00E568A1"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50FC6611" w14:textId="5A4B23AA" w:rsidR="00E568A1" w:rsidRPr="00D81B66" w:rsidRDefault="00E568A1" w:rsidP="0037724F">
      <w:pPr>
        <w:autoSpaceDE w:val="0"/>
        <w:autoSpaceDN w:val="0"/>
        <w:adjustRightInd w:val="0"/>
        <w:spacing w:after="0" w:line="240" w:lineRule="auto"/>
        <w:jc w:val="both"/>
        <w:rPr>
          <w:rFonts w:ascii="Arial" w:hAnsi="Arial" w:cs="Arial"/>
          <w:b/>
          <w:bCs/>
          <w:i/>
          <w:iCs/>
          <w:color w:val="6A2041"/>
          <w:sz w:val="24"/>
          <w:szCs w:val="24"/>
        </w:rPr>
      </w:pPr>
      <w:r w:rsidRPr="00D81B66">
        <w:rPr>
          <w:rFonts w:ascii="Arial" w:hAnsi="Arial" w:cs="Arial"/>
          <w:b/>
          <w:bCs/>
          <w:i/>
          <w:iCs/>
          <w:color w:val="6A2041"/>
          <w:sz w:val="24"/>
          <w:szCs w:val="24"/>
        </w:rPr>
        <w:t>2. Докази безпе</w:t>
      </w:r>
      <w:r w:rsidRPr="00D81B66">
        <w:rPr>
          <w:rFonts w:ascii="Arial" w:hAnsi="Arial" w:cs="Arial"/>
          <w:b/>
          <w:bCs/>
          <w:i/>
          <w:iCs/>
          <w:color w:val="6A2041"/>
          <w:sz w:val="24"/>
          <w:szCs w:val="24"/>
          <w:lang w:val="uk-UA"/>
        </w:rPr>
        <w:t>чності</w:t>
      </w:r>
      <w:r w:rsidRPr="00D81B66">
        <w:rPr>
          <w:rFonts w:ascii="Arial" w:hAnsi="Arial" w:cs="Arial"/>
          <w:b/>
          <w:bCs/>
          <w:i/>
          <w:iCs/>
          <w:color w:val="6A2041"/>
          <w:sz w:val="24"/>
          <w:szCs w:val="24"/>
        </w:rPr>
        <w:t xml:space="preserve"> </w:t>
      </w:r>
      <w:r w:rsidR="007D3500" w:rsidRPr="00D81B66">
        <w:rPr>
          <w:rFonts w:ascii="Arial" w:hAnsi="Arial" w:cs="Arial"/>
          <w:b/>
          <w:bCs/>
          <w:i/>
          <w:iCs/>
          <w:color w:val="6A2041"/>
          <w:sz w:val="24"/>
          <w:szCs w:val="24"/>
          <w:lang w:val="uk-UA"/>
        </w:rPr>
        <w:t>застосування</w:t>
      </w:r>
      <w:r w:rsidRPr="00D81B66">
        <w:rPr>
          <w:rFonts w:ascii="Arial" w:hAnsi="Arial" w:cs="Arial"/>
          <w:b/>
          <w:bCs/>
          <w:i/>
          <w:iCs/>
          <w:color w:val="6A2041"/>
          <w:sz w:val="24"/>
          <w:szCs w:val="24"/>
          <w:lang w:val="uk-UA"/>
        </w:rPr>
        <w:t xml:space="preserve"> </w:t>
      </w:r>
      <w:r w:rsidR="00D81B66" w:rsidRPr="00D81B66">
        <w:rPr>
          <w:rFonts w:ascii="Arial" w:hAnsi="Arial" w:cs="Arial"/>
          <w:b/>
          <w:bCs/>
          <w:i/>
          <w:iCs/>
          <w:color w:val="6A2041"/>
          <w:sz w:val="24"/>
          <w:szCs w:val="24"/>
        </w:rPr>
        <w:t>бедаквіліну у</w:t>
      </w:r>
      <w:r w:rsidRPr="00D81B66">
        <w:rPr>
          <w:rFonts w:ascii="Arial" w:hAnsi="Arial" w:cs="Arial"/>
          <w:b/>
          <w:bCs/>
          <w:i/>
          <w:iCs/>
          <w:color w:val="6A2041"/>
          <w:sz w:val="24"/>
          <w:szCs w:val="24"/>
        </w:rPr>
        <w:t xml:space="preserve"> лікуванні </w:t>
      </w:r>
      <w:r w:rsidR="009B51D9" w:rsidRPr="00D81B66">
        <w:rPr>
          <w:rFonts w:ascii="Arial" w:hAnsi="Arial" w:cs="Arial"/>
          <w:b/>
          <w:bCs/>
          <w:i/>
          <w:iCs/>
          <w:color w:val="6A2041"/>
          <w:sz w:val="24"/>
          <w:szCs w:val="24"/>
        </w:rPr>
        <w:t>МР ТБ</w:t>
      </w:r>
    </w:p>
    <w:p w14:paraId="7DE484DF" w14:textId="77777777" w:rsidR="00E568A1" w:rsidRPr="00CF2CAE" w:rsidRDefault="00E568A1" w:rsidP="0037724F">
      <w:pPr>
        <w:autoSpaceDE w:val="0"/>
        <w:autoSpaceDN w:val="0"/>
        <w:adjustRightInd w:val="0"/>
        <w:spacing w:after="0" w:line="240" w:lineRule="auto"/>
        <w:jc w:val="both"/>
        <w:rPr>
          <w:rFonts w:ascii="Arial" w:hAnsi="Arial" w:cs="Arial"/>
          <w:b/>
          <w:bCs/>
          <w:i/>
          <w:iCs/>
          <w:color w:val="000000"/>
          <w:sz w:val="24"/>
          <w:szCs w:val="24"/>
        </w:rPr>
      </w:pPr>
    </w:p>
    <w:p w14:paraId="42CA5207" w14:textId="23F0D967" w:rsidR="00E568A1" w:rsidRDefault="00E568A1" w:rsidP="0037724F">
      <w:pPr>
        <w:autoSpaceDE w:val="0"/>
        <w:autoSpaceDN w:val="0"/>
        <w:adjustRightInd w:val="0"/>
        <w:spacing w:after="0" w:line="240" w:lineRule="auto"/>
        <w:jc w:val="both"/>
        <w:rPr>
          <w:rFonts w:ascii="Arial" w:hAnsi="Arial" w:cs="Arial"/>
          <w:color w:val="000000"/>
          <w:lang w:val="uk-UA"/>
        </w:rPr>
      </w:pPr>
      <w:r w:rsidRPr="00A10A92">
        <w:rPr>
          <w:rFonts w:ascii="Arial" w:hAnsi="Arial" w:cs="Arial"/>
          <w:color w:val="000000"/>
          <w:lang w:val="uk-UA"/>
        </w:rPr>
        <w:t xml:space="preserve">Інформація була отримана в результаті зведених даних дослідження </w:t>
      </w:r>
      <w:r w:rsidRPr="00A10A92">
        <w:rPr>
          <w:rFonts w:ascii="Arial" w:hAnsi="Arial" w:cs="Arial"/>
          <w:color w:val="000000"/>
          <w:lang w:val="en-US"/>
        </w:rPr>
        <w:t>C</w:t>
      </w:r>
      <w:r w:rsidRPr="00A10A92">
        <w:rPr>
          <w:rFonts w:ascii="Arial" w:hAnsi="Arial" w:cs="Arial"/>
          <w:color w:val="000000"/>
          <w:lang w:val="uk-UA"/>
        </w:rPr>
        <w:t>208 першо</w:t>
      </w:r>
      <w:r w:rsidR="006740D3">
        <w:rPr>
          <w:rFonts w:ascii="Arial" w:hAnsi="Arial" w:cs="Arial"/>
          <w:color w:val="000000"/>
          <w:lang w:val="uk-UA"/>
        </w:rPr>
        <w:t>го та другого етапів</w:t>
      </w:r>
      <w:r w:rsidRPr="00A10A92">
        <w:rPr>
          <w:rFonts w:ascii="Arial" w:hAnsi="Arial" w:cs="Arial"/>
          <w:color w:val="000000"/>
          <w:lang w:val="uk-UA"/>
        </w:rPr>
        <w:t>, в яких взяли участь</w:t>
      </w:r>
      <w:r w:rsidR="00EF76B7">
        <w:rPr>
          <w:rFonts w:ascii="Arial" w:hAnsi="Arial" w:cs="Arial"/>
          <w:color w:val="000000"/>
          <w:lang w:val="uk-UA"/>
        </w:rPr>
        <w:t xml:space="preserve"> 102  особи  в групі '</w:t>
      </w:r>
      <w:r w:rsidRPr="00A10A92">
        <w:rPr>
          <w:rFonts w:ascii="Arial" w:hAnsi="Arial" w:cs="Arial"/>
          <w:color w:val="000000"/>
          <w:lang w:val="uk-UA"/>
        </w:rPr>
        <w:t>бедаквілін'</w:t>
      </w:r>
      <w:r w:rsidR="00EF76B7">
        <w:rPr>
          <w:rFonts w:ascii="Arial" w:hAnsi="Arial" w:cs="Arial"/>
          <w:color w:val="000000"/>
          <w:lang w:val="uk-UA"/>
        </w:rPr>
        <w:t xml:space="preserve"> та 105 осіб у групі '</w:t>
      </w:r>
      <w:r w:rsidRPr="00A10A92">
        <w:rPr>
          <w:rFonts w:ascii="Arial" w:hAnsi="Arial" w:cs="Arial"/>
          <w:color w:val="000000"/>
          <w:lang w:val="uk-UA"/>
        </w:rPr>
        <w:t>плацебо': 96,1% па</w:t>
      </w:r>
      <w:r w:rsidR="00EF76B7">
        <w:rPr>
          <w:rFonts w:ascii="Arial" w:hAnsi="Arial" w:cs="Arial"/>
          <w:color w:val="000000"/>
          <w:lang w:val="uk-UA"/>
        </w:rPr>
        <w:t xml:space="preserve">цієнтів </w:t>
      </w:r>
      <w:r w:rsidR="00EF76B7" w:rsidRPr="00A10A92">
        <w:rPr>
          <w:rFonts w:ascii="Arial" w:hAnsi="Arial" w:cs="Arial"/>
          <w:color w:val="000000"/>
          <w:lang w:val="uk-UA"/>
        </w:rPr>
        <w:t>групи</w:t>
      </w:r>
      <w:r w:rsidR="00EF76B7">
        <w:rPr>
          <w:rFonts w:ascii="Arial" w:hAnsi="Arial" w:cs="Arial"/>
          <w:color w:val="000000"/>
          <w:lang w:val="uk-UA"/>
        </w:rPr>
        <w:t xml:space="preserve"> 'бедаквілін' та 95,2% - </w:t>
      </w:r>
      <w:r w:rsidR="00EF76B7" w:rsidRPr="00A10A92">
        <w:rPr>
          <w:rFonts w:ascii="Arial" w:hAnsi="Arial" w:cs="Arial"/>
          <w:color w:val="000000"/>
          <w:lang w:val="uk-UA"/>
        </w:rPr>
        <w:t xml:space="preserve">групи </w:t>
      </w:r>
      <w:r w:rsidR="00EF76B7">
        <w:rPr>
          <w:rFonts w:ascii="Arial" w:hAnsi="Arial" w:cs="Arial"/>
          <w:color w:val="000000"/>
          <w:lang w:val="uk-UA"/>
        </w:rPr>
        <w:t>'плацебо' мали принаймні один випадок побічної реакції (</w:t>
      </w:r>
      <w:r w:rsidR="004D4CA8">
        <w:rPr>
          <w:rFonts w:ascii="Arial" w:hAnsi="Arial" w:cs="Arial"/>
          <w:color w:val="000000"/>
          <w:lang w:val="uk-UA"/>
        </w:rPr>
        <w:t xml:space="preserve">далі </w:t>
      </w:r>
      <w:r w:rsidR="00EF76B7">
        <w:rPr>
          <w:rFonts w:ascii="Arial" w:hAnsi="Arial" w:cs="Arial"/>
          <w:color w:val="000000"/>
          <w:lang w:val="uk-UA"/>
        </w:rPr>
        <w:t>ПР</w:t>
      </w:r>
      <w:r w:rsidRPr="00A10A92">
        <w:rPr>
          <w:rFonts w:ascii="Arial" w:hAnsi="Arial" w:cs="Arial"/>
          <w:color w:val="000000"/>
          <w:lang w:val="uk-UA"/>
        </w:rPr>
        <w:t>).</w:t>
      </w:r>
      <w:r>
        <w:rPr>
          <w:rFonts w:ascii="Arial" w:hAnsi="Arial" w:cs="Arial"/>
          <w:color w:val="000000"/>
          <w:lang w:val="uk-UA"/>
        </w:rPr>
        <w:t xml:space="preserve"> </w:t>
      </w:r>
      <w:r w:rsidRPr="0061044A">
        <w:rPr>
          <w:rFonts w:ascii="Arial" w:hAnsi="Arial" w:cs="Arial"/>
          <w:color w:val="000000"/>
          <w:lang w:val="uk-UA"/>
        </w:rPr>
        <w:t>Найч</w:t>
      </w:r>
      <w:r w:rsidR="004D4CA8">
        <w:rPr>
          <w:rFonts w:ascii="Arial" w:hAnsi="Arial" w:cs="Arial"/>
          <w:color w:val="000000"/>
          <w:lang w:val="uk-UA"/>
        </w:rPr>
        <w:t>астіше зареєстрованими ПР у</w:t>
      </w:r>
      <w:r w:rsidRPr="0061044A">
        <w:rPr>
          <w:rFonts w:ascii="Arial" w:hAnsi="Arial" w:cs="Arial"/>
          <w:color w:val="000000"/>
          <w:lang w:val="uk-UA"/>
        </w:rPr>
        <w:t xml:space="preserve"> </w:t>
      </w:r>
      <w:r w:rsidR="004D4CA8" w:rsidRPr="0061044A">
        <w:rPr>
          <w:rFonts w:ascii="Arial" w:hAnsi="Arial" w:cs="Arial"/>
          <w:color w:val="000000"/>
          <w:lang w:val="uk-UA"/>
        </w:rPr>
        <w:t xml:space="preserve">групі </w:t>
      </w:r>
      <w:r w:rsidRPr="0061044A">
        <w:rPr>
          <w:rFonts w:ascii="Arial" w:hAnsi="Arial" w:cs="Arial"/>
          <w:color w:val="000000"/>
          <w:lang w:val="uk-UA"/>
        </w:rPr>
        <w:t>бедаквілін (&gt; 20,0% суб'єктів) були нудота (35,3%), біль в суглобах (29,4%), головн</w:t>
      </w:r>
      <w:r w:rsidR="00A360FB">
        <w:rPr>
          <w:rFonts w:ascii="Arial" w:hAnsi="Arial" w:cs="Arial"/>
          <w:color w:val="000000"/>
          <w:lang w:val="uk-UA"/>
        </w:rPr>
        <w:t xml:space="preserve">ий біль (23,5%), гіперурикемія </w:t>
      </w:r>
      <w:r w:rsidRPr="0061044A">
        <w:rPr>
          <w:rFonts w:ascii="Arial" w:hAnsi="Arial" w:cs="Arial"/>
          <w:color w:val="000000"/>
          <w:lang w:val="uk-UA"/>
        </w:rPr>
        <w:t>(22,5%) та</w:t>
      </w:r>
      <w:r w:rsidR="004D4CA8">
        <w:rPr>
          <w:rFonts w:ascii="Arial" w:hAnsi="Arial" w:cs="Arial"/>
          <w:color w:val="000000"/>
          <w:lang w:val="uk-UA"/>
        </w:rPr>
        <w:t xml:space="preserve"> блювота (20,6%). Частота цих ПР</w:t>
      </w:r>
      <w:r w:rsidRPr="0061044A">
        <w:rPr>
          <w:rFonts w:ascii="Arial" w:hAnsi="Arial" w:cs="Arial"/>
          <w:color w:val="000000"/>
          <w:lang w:val="uk-UA"/>
        </w:rPr>
        <w:t xml:space="preserve"> була, як правило, однаковою у </w:t>
      </w:r>
      <w:r w:rsidR="004D4CA8" w:rsidRPr="0061044A">
        <w:rPr>
          <w:rFonts w:ascii="Arial" w:hAnsi="Arial" w:cs="Arial"/>
          <w:color w:val="000000"/>
          <w:lang w:val="uk-UA"/>
        </w:rPr>
        <w:t xml:space="preserve">групах </w:t>
      </w:r>
      <w:r w:rsidRPr="0061044A">
        <w:rPr>
          <w:rFonts w:ascii="Arial" w:hAnsi="Arial" w:cs="Arial"/>
          <w:color w:val="000000"/>
          <w:lang w:val="uk-UA"/>
        </w:rPr>
        <w:t>"бедаквілі</w:t>
      </w:r>
      <w:r>
        <w:rPr>
          <w:rFonts w:ascii="Arial" w:hAnsi="Arial" w:cs="Arial"/>
          <w:color w:val="000000"/>
          <w:lang w:val="uk-UA"/>
        </w:rPr>
        <w:t>н</w:t>
      </w:r>
      <w:r w:rsidR="004D4CA8">
        <w:rPr>
          <w:rFonts w:ascii="Arial" w:hAnsi="Arial" w:cs="Arial"/>
          <w:color w:val="000000"/>
          <w:lang w:val="uk-UA"/>
        </w:rPr>
        <w:t>" та "</w:t>
      </w:r>
      <w:r w:rsidRPr="0061044A">
        <w:rPr>
          <w:rFonts w:ascii="Arial" w:hAnsi="Arial" w:cs="Arial"/>
          <w:color w:val="000000"/>
          <w:lang w:val="uk-UA"/>
        </w:rPr>
        <w:t xml:space="preserve">плацебо", за винятком головного </w:t>
      </w:r>
      <w:r w:rsidR="004D4CA8">
        <w:rPr>
          <w:rFonts w:ascii="Arial" w:hAnsi="Arial" w:cs="Arial"/>
          <w:color w:val="000000"/>
          <w:lang w:val="uk-UA"/>
        </w:rPr>
        <w:t>болю (у 23,5% та 11,4% учасників</w:t>
      </w:r>
      <w:r w:rsidRPr="0061044A">
        <w:rPr>
          <w:rFonts w:ascii="Arial" w:hAnsi="Arial" w:cs="Arial"/>
          <w:color w:val="000000"/>
          <w:lang w:val="uk-UA"/>
        </w:rPr>
        <w:t xml:space="preserve"> відповідно), нудоти (відповідно у 35,3% та 25,7%) та артралгії (29,4% і 20,0% відповідно).</w:t>
      </w:r>
      <w:r>
        <w:rPr>
          <w:rFonts w:ascii="Arial" w:hAnsi="Arial" w:cs="Arial"/>
          <w:color w:val="000000"/>
          <w:lang w:val="uk-UA"/>
        </w:rPr>
        <w:t xml:space="preserve"> </w:t>
      </w:r>
      <w:r w:rsidR="004D4CA8">
        <w:rPr>
          <w:rFonts w:ascii="Arial" w:hAnsi="Arial" w:cs="Arial"/>
          <w:color w:val="000000"/>
          <w:lang w:val="uk-UA"/>
        </w:rPr>
        <w:t>Мали місце додаткові ПР</w:t>
      </w:r>
      <w:r w:rsidRPr="00550D73">
        <w:rPr>
          <w:rFonts w:ascii="Arial" w:hAnsi="Arial" w:cs="Arial"/>
          <w:color w:val="000000"/>
          <w:lang w:val="uk-UA"/>
        </w:rPr>
        <w:t xml:space="preserve">, у порядку частоти виникнення: запаморочення, підвищені трансамінази, міалгія, діарея та подовження </w:t>
      </w:r>
      <w:r w:rsidR="004D4CA8">
        <w:rPr>
          <w:rFonts w:ascii="Arial" w:hAnsi="Arial" w:cs="Arial"/>
          <w:color w:val="000000"/>
          <w:lang w:val="uk-UA"/>
        </w:rPr>
        <w:t xml:space="preserve">інтервалу </w:t>
      </w:r>
      <w:r w:rsidRPr="00550D73">
        <w:rPr>
          <w:rFonts w:ascii="Arial" w:hAnsi="Arial" w:cs="Arial"/>
          <w:color w:val="000000"/>
          <w:lang w:val="uk-UA"/>
        </w:rPr>
        <w:t>QT. Сп</w:t>
      </w:r>
      <w:r w:rsidR="00FD019D">
        <w:rPr>
          <w:rFonts w:ascii="Arial" w:hAnsi="Arial" w:cs="Arial"/>
          <w:color w:val="000000"/>
          <w:lang w:val="uk-UA"/>
        </w:rPr>
        <w:t>остерігалась більша</w:t>
      </w:r>
      <w:r w:rsidRPr="00550D73">
        <w:rPr>
          <w:rFonts w:ascii="Arial" w:hAnsi="Arial" w:cs="Arial"/>
          <w:color w:val="000000"/>
          <w:lang w:val="uk-UA"/>
        </w:rPr>
        <w:t xml:space="preserve"> частота випадків, пов'язаних з розладами печінки (головним чином збільшенням трансаміназ) у </w:t>
      </w:r>
      <w:r w:rsidR="004D4CA8" w:rsidRPr="00550D73">
        <w:rPr>
          <w:rFonts w:ascii="Arial" w:hAnsi="Arial" w:cs="Arial"/>
          <w:color w:val="000000"/>
          <w:lang w:val="uk-UA"/>
        </w:rPr>
        <w:t xml:space="preserve">групі </w:t>
      </w:r>
      <w:r w:rsidR="004D4CA8">
        <w:rPr>
          <w:rFonts w:ascii="Arial" w:hAnsi="Arial" w:cs="Arial"/>
          <w:color w:val="000000"/>
          <w:lang w:val="uk-UA"/>
        </w:rPr>
        <w:t>"</w:t>
      </w:r>
      <w:r w:rsidRPr="00550D73">
        <w:rPr>
          <w:rFonts w:ascii="Arial" w:hAnsi="Arial" w:cs="Arial"/>
          <w:color w:val="000000"/>
          <w:lang w:val="uk-UA"/>
        </w:rPr>
        <w:t xml:space="preserve">бедаквілін </w:t>
      </w:r>
      <w:r w:rsidR="004D4CA8">
        <w:rPr>
          <w:rFonts w:ascii="Arial" w:hAnsi="Arial" w:cs="Arial"/>
          <w:color w:val="000000"/>
          <w:lang w:val="uk-UA"/>
        </w:rPr>
        <w:t xml:space="preserve">" у порівнянні з </w:t>
      </w:r>
      <w:r w:rsidR="004D4CA8" w:rsidRPr="00550D73">
        <w:rPr>
          <w:rFonts w:ascii="Arial" w:hAnsi="Arial" w:cs="Arial"/>
          <w:color w:val="000000"/>
          <w:lang w:val="uk-UA"/>
        </w:rPr>
        <w:t xml:space="preserve">групою </w:t>
      </w:r>
      <w:r w:rsidRPr="00550D73">
        <w:rPr>
          <w:rFonts w:ascii="Arial" w:hAnsi="Arial" w:cs="Arial"/>
          <w:color w:val="000000"/>
          <w:lang w:val="uk-UA"/>
        </w:rPr>
        <w:t>плацебо.</w:t>
      </w:r>
      <w:r>
        <w:rPr>
          <w:rFonts w:ascii="Arial" w:hAnsi="Arial" w:cs="Arial"/>
          <w:color w:val="000000"/>
          <w:lang w:val="uk-UA"/>
        </w:rPr>
        <w:t xml:space="preserve"> </w:t>
      </w:r>
      <w:r w:rsidR="004D4CA8">
        <w:rPr>
          <w:rFonts w:ascii="Arial" w:hAnsi="Arial" w:cs="Arial"/>
          <w:color w:val="000000"/>
          <w:lang w:val="uk-UA"/>
        </w:rPr>
        <w:t>Подовження інтервалу QTспостерігало</w:t>
      </w:r>
      <w:r w:rsidRPr="00170AF7">
        <w:rPr>
          <w:rFonts w:ascii="Arial" w:hAnsi="Arial" w:cs="Arial"/>
          <w:color w:val="000000"/>
          <w:lang w:val="uk-UA"/>
        </w:rPr>
        <w:t>ся як у групі бедаквіліну, так і в групі плацебо, проте вони були більш вираженими у групі бедаквіліну: у більшості пацієнтів значення QTcF</w:t>
      </w:r>
      <w:r w:rsidRPr="007B2A57">
        <w:rPr>
          <w:rFonts w:ascii="Arial" w:hAnsi="Arial" w:cs="Arial"/>
          <w:color w:val="000000"/>
          <w:vertAlign w:val="superscript"/>
          <w:lang w:val="uk-UA"/>
        </w:rPr>
        <w:t>4</w:t>
      </w:r>
      <w:r>
        <w:rPr>
          <w:rFonts w:ascii="Arial" w:hAnsi="Arial" w:cs="Arial"/>
          <w:color w:val="000000"/>
          <w:vertAlign w:val="superscript"/>
          <w:lang w:val="uk-UA"/>
        </w:rPr>
        <w:t>/</w:t>
      </w:r>
      <w:r w:rsidRPr="00170AF7">
        <w:rPr>
          <w:rFonts w:ascii="Arial" w:hAnsi="Arial" w:cs="Arial"/>
          <w:color w:val="000000"/>
          <w:lang w:val="uk-UA"/>
        </w:rPr>
        <w:t xml:space="preserve"> було вище 450 мсек (26,6% проти 8,6%), а у більшості пацієнтів значення QTcF збільшилось до &gt; 60 мс від контрольних значень (9,1 % проти 2,5%). Встановлено, що застосування бедаквіліну з іншими потенційними </w:t>
      </w:r>
      <w:r w:rsidR="004D4CA8">
        <w:rPr>
          <w:rFonts w:ascii="Arial" w:hAnsi="Arial" w:cs="Arial"/>
          <w:color w:val="000000"/>
          <w:lang w:val="uk-UA"/>
        </w:rPr>
        <w:t>препаратами, що подовжують інтервал QT</w:t>
      </w:r>
      <w:r w:rsidRPr="00170AF7">
        <w:rPr>
          <w:rFonts w:ascii="Arial" w:hAnsi="Arial" w:cs="Arial"/>
          <w:color w:val="000000"/>
          <w:lang w:val="uk-UA"/>
        </w:rPr>
        <w:t xml:space="preserve">(наприклад, клофазимін) підвищує ризик </w:t>
      </w:r>
      <w:r w:rsidR="00FD019D">
        <w:rPr>
          <w:rFonts w:ascii="Arial" w:hAnsi="Arial" w:cs="Arial"/>
          <w:color w:val="000000"/>
          <w:lang w:val="uk-UA"/>
        </w:rPr>
        <w:t>виникнення подовженого</w:t>
      </w:r>
      <w:r w:rsidRPr="00170AF7">
        <w:rPr>
          <w:rFonts w:ascii="Arial" w:hAnsi="Arial" w:cs="Arial"/>
          <w:color w:val="000000"/>
          <w:lang w:val="uk-UA"/>
        </w:rPr>
        <w:t xml:space="preserve"> інтервалу QT.</w:t>
      </w:r>
    </w:p>
    <w:p w14:paraId="3F5A36B4" w14:textId="77777777" w:rsidR="00E568A1" w:rsidRPr="00A360FB" w:rsidRDefault="00E568A1" w:rsidP="0037724F">
      <w:pPr>
        <w:autoSpaceDE w:val="0"/>
        <w:autoSpaceDN w:val="0"/>
        <w:adjustRightInd w:val="0"/>
        <w:spacing w:after="0" w:line="240" w:lineRule="auto"/>
        <w:jc w:val="both"/>
        <w:rPr>
          <w:rFonts w:ascii="Arial" w:hAnsi="Arial" w:cs="Arial"/>
          <w:color w:val="000000"/>
        </w:rPr>
      </w:pPr>
    </w:p>
    <w:p w14:paraId="6F4B51D1" w14:textId="0105878B" w:rsidR="00863A45" w:rsidRDefault="00E568A1" w:rsidP="0037724F">
      <w:pPr>
        <w:pBdr>
          <w:bottom w:val="single" w:sz="6" w:space="1" w:color="auto"/>
        </w:pBdr>
        <w:autoSpaceDE w:val="0"/>
        <w:autoSpaceDN w:val="0"/>
        <w:adjustRightInd w:val="0"/>
        <w:spacing w:after="0" w:line="240" w:lineRule="auto"/>
        <w:jc w:val="both"/>
        <w:rPr>
          <w:rFonts w:ascii="Arial" w:hAnsi="Arial" w:cs="Arial"/>
          <w:color w:val="000000"/>
          <w:lang w:val="uk-UA"/>
        </w:rPr>
      </w:pPr>
      <w:r w:rsidRPr="00170AF7">
        <w:rPr>
          <w:rFonts w:ascii="Arial" w:hAnsi="Arial" w:cs="Arial"/>
          <w:color w:val="000000"/>
          <w:lang w:val="uk-UA"/>
        </w:rPr>
        <w:t xml:space="preserve">Загалом, було повідомлено про 12 летальних випадках під час </w:t>
      </w:r>
      <w:r w:rsidR="000140F4">
        <w:rPr>
          <w:rFonts w:ascii="Arial" w:hAnsi="Arial" w:cs="Arial"/>
          <w:color w:val="000000"/>
          <w:lang w:val="uk-UA"/>
        </w:rPr>
        <w:t xml:space="preserve">другого етапу </w:t>
      </w:r>
      <w:r w:rsidR="001500A1">
        <w:rPr>
          <w:rFonts w:ascii="Arial" w:hAnsi="Arial" w:cs="Arial"/>
          <w:color w:val="000000"/>
          <w:lang w:val="uk-UA"/>
        </w:rPr>
        <w:t>дослідження</w:t>
      </w:r>
      <w:r w:rsidRPr="00170AF7">
        <w:rPr>
          <w:rFonts w:ascii="Arial" w:hAnsi="Arial" w:cs="Arial"/>
          <w:color w:val="000000"/>
          <w:lang w:val="uk-UA"/>
        </w:rPr>
        <w:t xml:space="preserve"> C208. З ни</w:t>
      </w:r>
      <w:r w:rsidR="000140F4">
        <w:rPr>
          <w:rFonts w:ascii="Arial" w:hAnsi="Arial" w:cs="Arial"/>
          <w:color w:val="000000"/>
          <w:lang w:val="uk-UA"/>
        </w:rPr>
        <w:t>х 10/79 (12,7%) сталися у групі</w:t>
      </w:r>
      <w:r w:rsidRPr="00170AF7">
        <w:rPr>
          <w:rFonts w:ascii="Arial" w:hAnsi="Arial" w:cs="Arial"/>
          <w:color w:val="000000"/>
          <w:lang w:val="uk-UA"/>
        </w:rPr>
        <w:t xml:space="preserve"> бедакв</w:t>
      </w:r>
      <w:r w:rsidR="000140F4">
        <w:rPr>
          <w:rFonts w:ascii="Arial" w:hAnsi="Arial" w:cs="Arial"/>
          <w:color w:val="000000"/>
          <w:lang w:val="uk-UA"/>
        </w:rPr>
        <w:t xml:space="preserve">іліну та 2/81 (2,5%) – у групі плацебо (р = 0,017) (згідно результатів </w:t>
      </w:r>
      <w:r w:rsidR="001500A1">
        <w:rPr>
          <w:rFonts w:ascii="Arial" w:hAnsi="Arial" w:cs="Arial"/>
          <w:color w:val="000000"/>
          <w:lang w:val="uk-UA"/>
        </w:rPr>
        <w:t>аналіз</w:t>
      </w:r>
      <w:r w:rsidR="000140F4">
        <w:rPr>
          <w:rFonts w:ascii="Arial" w:hAnsi="Arial" w:cs="Arial"/>
          <w:color w:val="000000"/>
          <w:lang w:val="uk-UA"/>
        </w:rPr>
        <w:t>у популяції, яка розпочала лікування</w:t>
      </w:r>
      <w:r w:rsidR="001500A1">
        <w:rPr>
          <w:rFonts w:ascii="Arial" w:hAnsi="Arial" w:cs="Arial"/>
          <w:color w:val="000000"/>
          <w:lang w:val="uk-UA"/>
        </w:rPr>
        <w:t>). У групі беда</w:t>
      </w:r>
      <w:r w:rsidRPr="00170AF7">
        <w:rPr>
          <w:rFonts w:ascii="Arial" w:hAnsi="Arial" w:cs="Arial"/>
          <w:color w:val="000000"/>
          <w:lang w:val="uk-UA"/>
        </w:rPr>
        <w:t>к</w:t>
      </w:r>
      <w:r w:rsidR="001500A1">
        <w:rPr>
          <w:rFonts w:ascii="Arial" w:hAnsi="Arial" w:cs="Arial"/>
          <w:color w:val="000000"/>
          <w:lang w:val="uk-UA"/>
        </w:rPr>
        <w:t>ві</w:t>
      </w:r>
      <w:r w:rsidR="000140F4">
        <w:rPr>
          <w:rFonts w:ascii="Arial" w:hAnsi="Arial" w:cs="Arial"/>
          <w:color w:val="000000"/>
          <w:lang w:val="uk-UA"/>
        </w:rPr>
        <w:t>ліну 8 з 10 смертей були серед тих, у кого відбулася конверсія</w:t>
      </w:r>
      <w:r w:rsidRPr="00170AF7">
        <w:rPr>
          <w:rFonts w:ascii="Arial" w:hAnsi="Arial" w:cs="Arial"/>
          <w:color w:val="000000"/>
          <w:lang w:val="uk-UA"/>
        </w:rPr>
        <w:t xml:space="preserve"> культури.</w:t>
      </w:r>
      <w:r>
        <w:rPr>
          <w:rFonts w:ascii="Arial" w:hAnsi="Arial" w:cs="Arial"/>
          <w:color w:val="000000"/>
          <w:lang w:val="uk-UA"/>
        </w:rPr>
        <w:t xml:space="preserve"> </w:t>
      </w:r>
      <w:r w:rsidRPr="005C19DA">
        <w:rPr>
          <w:rFonts w:ascii="Arial" w:hAnsi="Arial" w:cs="Arial"/>
          <w:color w:val="000000"/>
          <w:lang w:val="uk-UA"/>
        </w:rPr>
        <w:t xml:space="preserve">Повідомлялося, що ТБ </w:t>
      </w:r>
      <w:r w:rsidR="00190878">
        <w:rPr>
          <w:rFonts w:ascii="Arial" w:hAnsi="Arial" w:cs="Arial"/>
          <w:color w:val="000000"/>
          <w:lang w:val="uk-UA"/>
        </w:rPr>
        <w:t xml:space="preserve">став причиною смерті двох пацієнтів групи </w:t>
      </w:r>
      <w:r w:rsidRPr="005C19DA">
        <w:rPr>
          <w:rFonts w:ascii="Arial" w:hAnsi="Arial" w:cs="Arial"/>
          <w:color w:val="000000"/>
          <w:lang w:val="uk-UA"/>
        </w:rPr>
        <w:t>плацебо та у</w:t>
      </w:r>
      <w:r w:rsidR="00190878">
        <w:rPr>
          <w:rFonts w:ascii="Arial" w:hAnsi="Arial" w:cs="Arial"/>
          <w:color w:val="000000"/>
          <w:lang w:val="uk-UA"/>
        </w:rPr>
        <w:t xml:space="preserve"> 5 з 10 пацієнтів групи</w:t>
      </w:r>
      <w:r w:rsidRPr="005C19DA">
        <w:rPr>
          <w:rFonts w:ascii="Arial" w:hAnsi="Arial" w:cs="Arial"/>
          <w:color w:val="000000"/>
          <w:lang w:val="uk-UA"/>
        </w:rPr>
        <w:t xml:space="preserve"> </w:t>
      </w:r>
      <w:r w:rsidR="00F778CF">
        <w:rPr>
          <w:rFonts w:ascii="Arial" w:hAnsi="Arial" w:cs="Arial"/>
          <w:color w:val="000000"/>
          <w:lang w:val="uk-UA"/>
        </w:rPr>
        <w:t xml:space="preserve">бедаквілін (смерті відбулися тоді, коли учасники не отримували </w:t>
      </w:r>
      <w:r w:rsidRPr="005C19DA">
        <w:rPr>
          <w:rFonts w:ascii="Arial" w:hAnsi="Arial" w:cs="Arial"/>
          <w:color w:val="000000"/>
          <w:lang w:val="uk-UA"/>
        </w:rPr>
        <w:t>лікування бедаквіліном). Підрахунок кількості смертельних</w:t>
      </w:r>
      <w:r w:rsidR="00F778CF">
        <w:rPr>
          <w:rFonts w:ascii="Arial" w:hAnsi="Arial" w:cs="Arial"/>
          <w:color w:val="000000"/>
          <w:lang w:val="uk-UA"/>
        </w:rPr>
        <w:t xml:space="preserve"> випадків на момент зрізу на 120 тиждень </w:t>
      </w:r>
      <w:r w:rsidR="000805B8">
        <w:rPr>
          <w:rFonts w:ascii="Arial" w:hAnsi="Arial" w:cs="Arial"/>
          <w:color w:val="000000"/>
          <w:lang w:val="uk-UA"/>
        </w:rPr>
        <w:t>показав</w:t>
      </w:r>
      <w:r w:rsidRPr="005C19DA">
        <w:rPr>
          <w:rFonts w:ascii="Arial" w:hAnsi="Arial" w:cs="Arial"/>
          <w:color w:val="000000"/>
          <w:lang w:val="uk-UA"/>
        </w:rPr>
        <w:t xml:space="preserve"> дев'ять смертей у групі </w:t>
      </w:r>
      <w:r w:rsidR="001500A1" w:rsidRPr="00C113C9">
        <w:rPr>
          <w:rFonts w:ascii="Arial" w:hAnsi="Arial" w:cs="Arial"/>
          <w:color w:val="000000"/>
          <w:lang w:val="uk-UA"/>
        </w:rPr>
        <w:t xml:space="preserve">бедаквіліну </w:t>
      </w:r>
      <w:r w:rsidRPr="005C19DA">
        <w:rPr>
          <w:rFonts w:ascii="Arial" w:hAnsi="Arial" w:cs="Arial"/>
          <w:color w:val="000000"/>
          <w:lang w:val="uk-UA"/>
        </w:rPr>
        <w:t>та одну - у групі плацебо.</w:t>
      </w:r>
      <w:r>
        <w:rPr>
          <w:rFonts w:ascii="Arial" w:hAnsi="Arial" w:cs="Arial"/>
          <w:color w:val="000000"/>
          <w:lang w:val="uk-UA"/>
        </w:rPr>
        <w:t xml:space="preserve"> </w:t>
      </w:r>
      <w:r w:rsidRPr="00C31B49">
        <w:rPr>
          <w:rFonts w:ascii="Arial" w:hAnsi="Arial" w:cs="Arial"/>
          <w:color w:val="000000"/>
          <w:lang w:val="uk-UA"/>
        </w:rPr>
        <w:t>Не було</w:t>
      </w:r>
      <w:r w:rsidR="000805B8">
        <w:rPr>
          <w:rFonts w:ascii="Arial" w:hAnsi="Arial" w:cs="Arial"/>
          <w:color w:val="000000"/>
          <w:lang w:val="uk-UA"/>
        </w:rPr>
        <w:t xml:space="preserve"> встановдено</w:t>
      </w:r>
      <w:r w:rsidRPr="00C31B49">
        <w:rPr>
          <w:rFonts w:ascii="Arial" w:hAnsi="Arial" w:cs="Arial"/>
          <w:color w:val="000000"/>
          <w:lang w:val="uk-UA"/>
        </w:rPr>
        <w:t xml:space="preserve"> помітних зв'язків між смертю та </w:t>
      </w:r>
      <w:r w:rsidR="00C113C9">
        <w:rPr>
          <w:rFonts w:ascii="Arial" w:hAnsi="Arial" w:cs="Arial"/>
          <w:color w:val="000000"/>
          <w:lang w:val="uk-UA"/>
        </w:rPr>
        <w:t>конверсією</w:t>
      </w:r>
      <w:r w:rsidRPr="00C31B49">
        <w:rPr>
          <w:rFonts w:ascii="Arial" w:hAnsi="Arial" w:cs="Arial"/>
          <w:color w:val="000000"/>
          <w:lang w:val="uk-UA"/>
        </w:rPr>
        <w:t xml:space="preserve"> культури, рецидивом, мі</w:t>
      </w:r>
      <w:r w:rsidR="000805B8">
        <w:rPr>
          <w:rFonts w:ascii="Arial" w:hAnsi="Arial" w:cs="Arial"/>
          <w:color w:val="000000"/>
          <w:lang w:val="uk-UA"/>
        </w:rPr>
        <w:t>кробіологічною реакцією, чу</w:t>
      </w:r>
      <w:r w:rsidRPr="00C31B49">
        <w:rPr>
          <w:rFonts w:ascii="Arial" w:hAnsi="Arial" w:cs="Arial"/>
          <w:color w:val="000000"/>
          <w:lang w:val="uk-UA"/>
        </w:rPr>
        <w:t xml:space="preserve">тливістю до препаратів, що застосовуються при фоновому режимі терапії (ФР), статусом вірусу імунодефіциту людини (ВІЛ) або тяжкості </w:t>
      </w:r>
      <w:r w:rsidR="000805B8" w:rsidRPr="00C31B49">
        <w:rPr>
          <w:rFonts w:ascii="Arial" w:hAnsi="Arial" w:cs="Arial"/>
          <w:color w:val="000000"/>
          <w:lang w:val="uk-UA"/>
        </w:rPr>
        <w:t>захворювання, пов'язаного з туберкульозом.</w:t>
      </w:r>
    </w:p>
    <w:p w14:paraId="7C2C3368" w14:textId="77777777" w:rsidR="00863A45" w:rsidRPr="00170AF7" w:rsidRDefault="00863A45" w:rsidP="00863A45">
      <w:pPr>
        <w:autoSpaceDE w:val="0"/>
        <w:autoSpaceDN w:val="0"/>
        <w:adjustRightInd w:val="0"/>
        <w:spacing w:after="0" w:line="240" w:lineRule="auto"/>
        <w:jc w:val="both"/>
        <w:rPr>
          <w:rFonts w:ascii="Arial" w:hAnsi="Arial" w:cs="Arial"/>
          <w:color w:val="000000"/>
          <w:lang w:val="uk-UA"/>
        </w:rPr>
      </w:pPr>
    </w:p>
    <w:p w14:paraId="5F55C992" w14:textId="5064CFA0" w:rsidR="00863A45" w:rsidRPr="00B76DEE" w:rsidRDefault="00863A45" w:rsidP="00863A45">
      <w:pPr>
        <w:autoSpaceDE w:val="0"/>
        <w:autoSpaceDN w:val="0"/>
        <w:adjustRightInd w:val="0"/>
        <w:spacing w:after="0" w:line="240" w:lineRule="auto"/>
        <w:jc w:val="both"/>
        <w:rPr>
          <w:rFonts w:ascii="Arial" w:hAnsi="Arial" w:cs="Arial"/>
          <w:color w:val="000000"/>
          <w:sz w:val="18"/>
          <w:szCs w:val="18"/>
        </w:rPr>
      </w:pPr>
      <w:r w:rsidRPr="00C15C15">
        <w:rPr>
          <w:rFonts w:ascii="Arial" w:hAnsi="Arial" w:cs="Arial"/>
          <w:b/>
          <w:color w:val="000000"/>
          <w:sz w:val="18"/>
          <w:szCs w:val="18"/>
          <w:vertAlign w:val="superscript"/>
        </w:rPr>
        <w:t>4</w:t>
      </w:r>
      <w:r w:rsidRPr="00B76DEE">
        <w:rPr>
          <w:rFonts w:ascii="Arial" w:hAnsi="Arial" w:cs="Arial"/>
          <w:color w:val="000000"/>
          <w:sz w:val="18"/>
          <w:szCs w:val="18"/>
        </w:rPr>
        <w:t xml:space="preserve"> </w:t>
      </w:r>
      <w:r w:rsidRPr="00B76DEE">
        <w:rPr>
          <w:rFonts w:ascii="Arial" w:hAnsi="Arial" w:cs="Arial"/>
          <w:color w:val="000000"/>
          <w:sz w:val="18"/>
          <w:szCs w:val="18"/>
          <w:lang w:val="en-US"/>
        </w:rPr>
        <w:t>QTcF</w:t>
      </w:r>
      <w:r w:rsidRPr="00B76DEE">
        <w:rPr>
          <w:rFonts w:ascii="Arial" w:hAnsi="Arial" w:cs="Arial"/>
          <w:color w:val="000000"/>
          <w:sz w:val="18"/>
          <w:szCs w:val="18"/>
        </w:rPr>
        <w:t xml:space="preserve">: </w:t>
      </w:r>
      <w:r w:rsidRPr="00B76DEE">
        <w:rPr>
          <w:rFonts w:ascii="Arial" w:hAnsi="Arial" w:cs="Arial"/>
          <w:color w:val="000000"/>
          <w:sz w:val="18"/>
          <w:szCs w:val="18"/>
          <w:lang w:val="en-US"/>
        </w:rPr>
        <w:t>QT</w:t>
      </w:r>
      <w:r w:rsidRPr="00B76DEE">
        <w:rPr>
          <w:rFonts w:ascii="Arial" w:hAnsi="Arial" w:cs="Arial"/>
          <w:color w:val="000000"/>
          <w:sz w:val="18"/>
          <w:szCs w:val="18"/>
        </w:rPr>
        <w:t xml:space="preserve">-інтервал коригується для </w:t>
      </w:r>
      <w:r w:rsidR="004964E0">
        <w:rPr>
          <w:rFonts w:ascii="Arial" w:hAnsi="Arial" w:cs="Arial"/>
          <w:color w:val="000000"/>
          <w:sz w:val="18"/>
          <w:szCs w:val="18"/>
        </w:rPr>
        <w:t xml:space="preserve">серцевого ритму відповідно </w:t>
      </w:r>
      <w:r w:rsidRPr="00B76DEE">
        <w:rPr>
          <w:rFonts w:ascii="Arial" w:hAnsi="Arial" w:cs="Arial"/>
          <w:color w:val="000000"/>
          <w:sz w:val="18"/>
          <w:szCs w:val="18"/>
        </w:rPr>
        <w:t xml:space="preserve">методу </w:t>
      </w:r>
      <w:r w:rsidRPr="00B76DEE">
        <w:rPr>
          <w:rFonts w:ascii="Arial" w:hAnsi="Arial" w:cs="Arial"/>
          <w:color w:val="000000"/>
          <w:sz w:val="18"/>
          <w:szCs w:val="18"/>
          <w:lang w:val="en-US"/>
        </w:rPr>
        <w:t>Fridericia</w:t>
      </w:r>
    </w:p>
    <w:p w14:paraId="507A30DC" w14:textId="77777777" w:rsidR="00863A45" w:rsidRDefault="00863A45" w:rsidP="0037724F">
      <w:pPr>
        <w:autoSpaceDE w:val="0"/>
        <w:autoSpaceDN w:val="0"/>
        <w:adjustRightInd w:val="0"/>
        <w:spacing w:after="0" w:line="240" w:lineRule="auto"/>
        <w:jc w:val="both"/>
        <w:rPr>
          <w:rFonts w:ascii="Arial" w:hAnsi="Arial" w:cs="Arial"/>
          <w:color w:val="000000"/>
          <w:lang w:val="uk-UA"/>
        </w:rPr>
      </w:pPr>
    </w:p>
    <w:p w14:paraId="044C8DB4" w14:textId="1AB7E4B6" w:rsidR="00E568A1" w:rsidRPr="00C31B49" w:rsidRDefault="00C15C15"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lastRenderedPageBreak/>
        <w:t xml:space="preserve">Не дивлячись на детальний опис </w:t>
      </w:r>
      <w:r w:rsidR="00E568A1" w:rsidRPr="00C31B49">
        <w:rPr>
          <w:rFonts w:ascii="Arial" w:hAnsi="Arial" w:cs="Arial"/>
          <w:color w:val="000000"/>
          <w:lang w:val="uk-UA"/>
        </w:rPr>
        <w:t xml:space="preserve">всіх </w:t>
      </w:r>
      <w:r>
        <w:rPr>
          <w:rFonts w:ascii="Arial" w:hAnsi="Arial" w:cs="Arial"/>
          <w:color w:val="000000"/>
          <w:lang w:val="uk-UA"/>
        </w:rPr>
        <w:t xml:space="preserve">випадків </w:t>
      </w:r>
      <w:r w:rsidR="00E568A1" w:rsidRPr="00C31B49">
        <w:rPr>
          <w:rFonts w:ascii="Arial" w:hAnsi="Arial" w:cs="Arial"/>
          <w:color w:val="000000"/>
          <w:lang w:val="uk-UA"/>
        </w:rPr>
        <w:t xml:space="preserve">смертей, </w:t>
      </w:r>
      <w:r w:rsidR="00C113C9">
        <w:rPr>
          <w:rFonts w:ascii="Arial" w:hAnsi="Arial" w:cs="Arial"/>
          <w:color w:val="000000"/>
          <w:lang w:val="uk-UA"/>
        </w:rPr>
        <w:t xml:space="preserve">не було виявлено </w:t>
      </w:r>
      <w:r w:rsidR="00E568A1" w:rsidRPr="00C31B49">
        <w:rPr>
          <w:rFonts w:ascii="Arial" w:hAnsi="Arial" w:cs="Arial"/>
          <w:color w:val="000000"/>
          <w:lang w:val="uk-UA"/>
        </w:rPr>
        <w:t>при</w:t>
      </w:r>
      <w:r>
        <w:rPr>
          <w:rFonts w:ascii="Arial" w:hAnsi="Arial" w:cs="Arial"/>
          <w:color w:val="000000"/>
          <w:lang w:val="uk-UA"/>
        </w:rPr>
        <w:t>чини незбалансованості смертельних</w:t>
      </w:r>
      <w:r w:rsidR="00E568A1" w:rsidRPr="00C31B49">
        <w:rPr>
          <w:rFonts w:ascii="Arial" w:hAnsi="Arial" w:cs="Arial"/>
          <w:color w:val="000000"/>
          <w:lang w:val="uk-UA"/>
        </w:rPr>
        <w:t xml:space="preserve"> випадків між двома групами.</w:t>
      </w:r>
    </w:p>
    <w:p w14:paraId="07E4E619" w14:textId="77777777" w:rsidR="00E568A1"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2B29482A" w14:textId="77777777" w:rsidR="00E568A1" w:rsidRDefault="00E568A1" w:rsidP="009B51D9">
      <w:pPr>
        <w:autoSpaceDE w:val="0"/>
        <w:autoSpaceDN w:val="0"/>
        <w:adjustRightInd w:val="0"/>
        <w:spacing w:after="0" w:line="240" w:lineRule="auto"/>
        <w:jc w:val="both"/>
        <w:outlineLvl w:val="0"/>
        <w:rPr>
          <w:rFonts w:ascii="Arial" w:hAnsi="Arial" w:cs="Arial"/>
          <w:b/>
          <w:bCs/>
          <w:color w:val="6A2041"/>
          <w:sz w:val="36"/>
          <w:szCs w:val="36"/>
          <w:lang w:val="uk-UA"/>
        </w:rPr>
      </w:pPr>
      <w:r w:rsidRPr="00A32EE6">
        <w:rPr>
          <w:rFonts w:ascii="Arial" w:hAnsi="Arial" w:cs="Arial"/>
          <w:b/>
          <w:bCs/>
          <w:color w:val="6A2041"/>
          <w:sz w:val="36"/>
          <w:szCs w:val="36"/>
          <w:lang w:val="uk-UA"/>
        </w:rPr>
        <w:t>Висновки Експертної Групи</w:t>
      </w:r>
    </w:p>
    <w:p w14:paraId="325D2299" w14:textId="77777777" w:rsidR="000F37B2" w:rsidRPr="00A32EE6" w:rsidRDefault="000F37B2" w:rsidP="009B51D9">
      <w:pPr>
        <w:autoSpaceDE w:val="0"/>
        <w:autoSpaceDN w:val="0"/>
        <w:adjustRightInd w:val="0"/>
        <w:spacing w:after="0" w:line="240" w:lineRule="auto"/>
        <w:jc w:val="both"/>
        <w:outlineLvl w:val="0"/>
        <w:rPr>
          <w:rFonts w:ascii="Arial" w:hAnsi="Arial" w:cs="Arial"/>
          <w:b/>
          <w:bCs/>
          <w:color w:val="6A2041"/>
          <w:sz w:val="36"/>
          <w:szCs w:val="36"/>
          <w:lang w:val="uk-UA"/>
        </w:rPr>
      </w:pPr>
    </w:p>
    <w:p w14:paraId="5D6DD141" w14:textId="23EF3D74" w:rsidR="00E568A1" w:rsidRDefault="00E568A1" w:rsidP="0037724F">
      <w:pPr>
        <w:autoSpaceDE w:val="0"/>
        <w:autoSpaceDN w:val="0"/>
        <w:adjustRightInd w:val="0"/>
        <w:spacing w:after="0" w:line="240" w:lineRule="auto"/>
        <w:jc w:val="both"/>
        <w:rPr>
          <w:rFonts w:ascii="Arial" w:hAnsi="Arial" w:cs="Arial"/>
          <w:color w:val="000000"/>
          <w:lang w:val="uk-UA"/>
        </w:rPr>
      </w:pPr>
      <w:r w:rsidRPr="00CC5898">
        <w:rPr>
          <w:rFonts w:ascii="Arial" w:hAnsi="Arial" w:cs="Arial"/>
          <w:color w:val="000000"/>
          <w:lang w:val="uk-UA"/>
        </w:rPr>
        <w:t xml:space="preserve">ЕГ </w:t>
      </w:r>
      <w:r w:rsidR="00BC5D55">
        <w:rPr>
          <w:rFonts w:ascii="Arial" w:hAnsi="Arial" w:cs="Arial"/>
          <w:color w:val="000000"/>
          <w:lang w:val="uk-UA"/>
        </w:rPr>
        <w:t xml:space="preserve">дійшла висновку, що </w:t>
      </w:r>
      <w:r w:rsidRPr="00CC5898">
        <w:rPr>
          <w:rFonts w:ascii="Arial" w:hAnsi="Arial" w:cs="Arial"/>
          <w:color w:val="000000"/>
          <w:lang w:val="uk-UA"/>
        </w:rPr>
        <w:t>рандомізова</w:t>
      </w:r>
      <w:r w:rsidR="00BC5D55">
        <w:rPr>
          <w:rFonts w:ascii="Arial" w:hAnsi="Arial" w:cs="Arial"/>
          <w:color w:val="000000"/>
          <w:lang w:val="uk-UA"/>
        </w:rPr>
        <w:t xml:space="preserve">не, подвійне сліпе, </w:t>
      </w:r>
      <w:r w:rsidR="00994718">
        <w:rPr>
          <w:rFonts w:ascii="Arial" w:hAnsi="Arial" w:cs="Arial"/>
          <w:color w:val="000000"/>
          <w:lang w:val="uk-UA"/>
        </w:rPr>
        <w:t xml:space="preserve">формат базового </w:t>
      </w:r>
      <w:r w:rsidRPr="00CC5898">
        <w:rPr>
          <w:rFonts w:ascii="Arial" w:hAnsi="Arial" w:cs="Arial"/>
          <w:color w:val="000000"/>
          <w:lang w:val="uk-UA"/>
        </w:rPr>
        <w:t xml:space="preserve">дослідження було високої якості, хоча інформація про бажаний розмір вибірки та фактичний процес рандомізації не була доступною. </w:t>
      </w:r>
      <w:r w:rsidRPr="00372FF5">
        <w:rPr>
          <w:rFonts w:ascii="Arial" w:hAnsi="Arial" w:cs="Arial"/>
          <w:color w:val="000000"/>
        </w:rPr>
        <w:t xml:space="preserve">Проте, ЕГ </w:t>
      </w:r>
      <w:r w:rsidR="00CC5898">
        <w:rPr>
          <w:rFonts w:ascii="Arial" w:hAnsi="Arial" w:cs="Arial"/>
          <w:color w:val="000000"/>
          <w:lang w:val="uk-UA"/>
        </w:rPr>
        <w:t xml:space="preserve">була </w:t>
      </w:r>
      <w:r w:rsidR="00B03552">
        <w:rPr>
          <w:rFonts w:ascii="Arial" w:hAnsi="Arial" w:cs="Arial"/>
          <w:color w:val="000000"/>
        </w:rPr>
        <w:t>занепокоєна фактом застосування</w:t>
      </w:r>
      <w:r w:rsidRPr="00372FF5">
        <w:rPr>
          <w:rFonts w:ascii="Arial" w:hAnsi="Arial" w:cs="Arial"/>
          <w:color w:val="000000"/>
        </w:rPr>
        <w:t xml:space="preserve"> </w:t>
      </w:r>
      <w:r w:rsidR="00BC5D55" w:rsidRPr="00372FF5">
        <w:rPr>
          <w:rFonts w:ascii="Arial" w:hAnsi="Arial" w:cs="Arial"/>
          <w:color w:val="000000"/>
        </w:rPr>
        <w:t>аналізу</w:t>
      </w:r>
      <w:r w:rsidR="00BC5D55" w:rsidRPr="00372FF5">
        <w:rPr>
          <w:rFonts w:ascii="Arial" w:hAnsi="Arial" w:cs="Arial"/>
          <w:color w:val="000000"/>
          <w:lang w:val="en-US"/>
        </w:rPr>
        <w:t xml:space="preserve"> </w:t>
      </w:r>
      <w:r w:rsidRPr="00372FF5">
        <w:rPr>
          <w:rFonts w:ascii="Arial" w:hAnsi="Arial" w:cs="Arial"/>
          <w:color w:val="000000"/>
          <w:lang w:val="en-US"/>
        </w:rPr>
        <w:t>mITT</w:t>
      </w:r>
      <w:r w:rsidR="00BC5D55">
        <w:rPr>
          <w:rFonts w:ascii="Arial" w:hAnsi="Arial" w:cs="Arial"/>
          <w:color w:val="000000"/>
        </w:rPr>
        <w:t xml:space="preserve"> (та подальшими припущеннями</w:t>
      </w:r>
      <w:r w:rsidR="00B03552">
        <w:rPr>
          <w:rFonts w:ascii="Arial" w:hAnsi="Arial" w:cs="Arial"/>
          <w:color w:val="000000"/>
        </w:rPr>
        <w:t>, які були зроблені</w:t>
      </w:r>
      <w:r w:rsidRPr="00372FF5">
        <w:rPr>
          <w:rFonts w:ascii="Arial" w:hAnsi="Arial" w:cs="Arial"/>
          <w:color w:val="000000"/>
        </w:rPr>
        <w:t xml:space="preserve">), а також репрезентативністю </w:t>
      </w:r>
      <w:r w:rsidR="00B03552">
        <w:rPr>
          <w:rFonts w:ascii="Arial" w:hAnsi="Arial" w:cs="Arial"/>
          <w:color w:val="000000"/>
        </w:rPr>
        <w:t>популяції дослідженн</w:t>
      </w:r>
      <w:r w:rsidRPr="00372FF5">
        <w:rPr>
          <w:rFonts w:ascii="Arial" w:hAnsi="Arial" w:cs="Arial"/>
          <w:color w:val="000000"/>
        </w:rPr>
        <w:t>я.</w:t>
      </w:r>
      <w:r>
        <w:rPr>
          <w:rFonts w:ascii="Arial" w:hAnsi="Arial" w:cs="Arial"/>
          <w:color w:val="000000"/>
          <w:lang w:val="uk-UA"/>
        </w:rPr>
        <w:t xml:space="preserve"> </w:t>
      </w:r>
      <w:r w:rsidRPr="00BF161E">
        <w:rPr>
          <w:rFonts w:ascii="Arial" w:hAnsi="Arial" w:cs="Arial"/>
          <w:color w:val="000000"/>
          <w:lang w:val="uk-UA"/>
        </w:rPr>
        <w:t xml:space="preserve">Експерти також </w:t>
      </w:r>
      <w:r w:rsidR="00CC5898">
        <w:rPr>
          <w:rFonts w:ascii="Arial" w:hAnsi="Arial" w:cs="Arial"/>
          <w:color w:val="000000"/>
          <w:lang w:val="uk-UA"/>
        </w:rPr>
        <w:t>занепокоєні</w:t>
      </w:r>
      <w:r w:rsidRPr="00BF161E">
        <w:rPr>
          <w:rFonts w:ascii="Arial" w:hAnsi="Arial" w:cs="Arial"/>
          <w:color w:val="000000"/>
          <w:lang w:val="uk-UA"/>
        </w:rPr>
        <w:t xml:space="preserve"> н</w:t>
      </w:r>
      <w:r w:rsidR="00A256FF">
        <w:rPr>
          <w:rFonts w:ascii="Arial" w:hAnsi="Arial" w:cs="Arial"/>
          <w:color w:val="000000"/>
          <w:lang w:val="uk-UA"/>
        </w:rPr>
        <w:t xml:space="preserve">изьким рівнем одужання на момент завершення </w:t>
      </w:r>
      <w:r w:rsidRPr="00BF161E">
        <w:rPr>
          <w:rFonts w:ascii="Arial" w:hAnsi="Arial" w:cs="Arial"/>
          <w:color w:val="000000"/>
          <w:lang w:val="uk-UA"/>
        </w:rPr>
        <w:t>120 тижнів, який спостерегався у групі плацебо, порівняно з тими, що були опубліковані в останніх оглядах. Це може свідчити про те, що включені у дослідженн</w:t>
      </w:r>
      <w:r w:rsidR="00A256FF">
        <w:rPr>
          <w:rFonts w:ascii="Arial" w:hAnsi="Arial" w:cs="Arial"/>
          <w:color w:val="000000"/>
          <w:lang w:val="uk-UA"/>
        </w:rPr>
        <w:t>я пацієнти не були</w:t>
      </w:r>
      <w:r w:rsidRPr="00BF161E">
        <w:rPr>
          <w:rFonts w:ascii="Arial" w:hAnsi="Arial" w:cs="Arial"/>
          <w:color w:val="000000"/>
          <w:lang w:val="uk-UA"/>
        </w:rPr>
        <w:t xml:space="preserve"> репрезентативним для широкого загалу популяції </w:t>
      </w:r>
      <w:r w:rsidR="00A256FF">
        <w:rPr>
          <w:rFonts w:ascii="Arial" w:hAnsi="Arial" w:cs="Arial"/>
          <w:color w:val="000000"/>
          <w:lang w:val="uk-UA"/>
        </w:rPr>
        <w:t xml:space="preserve">з MР </w:t>
      </w:r>
      <w:r w:rsidR="00CC5898">
        <w:rPr>
          <w:rFonts w:ascii="Arial" w:hAnsi="Arial" w:cs="Arial"/>
          <w:color w:val="000000"/>
          <w:lang w:val="uk-UA"/>
        </w:rPr>
        <w:t>ТБ і,</w:t>
      </w:r>
      <w:r w:rsidR="00A256FF">
        <w:rPr>
          <w:rFonts w:ascii="Arial" w:hAnsi="Arial" w:cs="Arial"/>
          <w:color w:val="000000"/>
          <w:lang w:val="uk-UA"/>
        </w:rPr>
        <w:t xml:space="preserve"> що ефекти, які спостерігали</w:t>
      </w:r>
      <w:r w:rsidRPr="00BF161E">
        <w:rPr>
          <w:rFonts w:ascii="Arial" w:hAnsi="Arial" w:cs="Arial"/>
          <w:color w:val="000000"/>
          <w:lang w:val="uk-UA"/>
        </w:rPr>
        <w:t xml:space="preserve">ся в групі бедаквіліну, </w:t>
      </w:r>
      <w:r w:rsidR="00A256FF">
        <w:rPr>
          <w:rFonts w:ascii="Arial" w:hAnsi="Arial" w:cs="Arial"/>
          <w:color w:val="000000"/>
          <w:lang w:val="uk-UA"/>
        </w:rPr>
        <w:t xml:space="preserve">не можуть бути відтворені в </w:t>
      </w:r>
      <w:r w:rsidRPr="00BF161E">
        <w:rPr>
          <w:rFonts w:ascii="Arial" w:hAnsi="Arial" w:cs="Arial"/>
          <w:color w:val="000000"/>
          <w:lang w:val="uk-UA"/>
        </w:rPr>
        <w:t>умов</w:t>
      </w:r>
      <w:r w:rsidR="00A256FF">
        <w:rPr>
          <w:rFonts w:ascii="Arial" w:hAnsi="Arial" w:cs="Arial"/>
          <w:color w:val="000000"/>
          <w:lang w:val="uk-UA"/>
        </w:rPr>
        <w:t>ах програмної діяльності</w:t>
      </w:r>
      <w:r w:rsidRPr="00BF161E">
        <w:rPr>
          <w:rFonts w:ascii="Arial" w:hAnsi="Arial" w:cs="Arial"/>
          <w:color w:val="000000"/>
          <w:lang w:val="uk-UA"/>
        </w:rPr>
        <w:t>.</w:t>
      </w:r>
    </w:p>
    <w:p w14:paraId="59018CD8" w14:textId="77777777" w:rsidR="00DC4601" w:rsidRPr="00DC4601" w:rsidRDefault="00DC4601" w:rsidP="0037724F">
      <w:pPr>
        <w:autoSpaceDE w:val="0"/>
        <w:autoSpaceDN w:val="0"/>
        <w:adjustRightInd w:val="0"/>
        <w:spacing w:after="0" w:line="240" w:lineRule="auto"/>
        <w:jc w:val="both"/>
        <w:rPr>
          <w:rFonts w:ascii="Arial" w:hAnsi="Arial" w:cs="Arial"/>
          <w:color w:val="000000"/>
          <w:lang w:val="uk-UA"/>
        </w:rPr>
      </w:pPr>
    </w:p>
    <w:p w14:paraId="2B851954" w14:textId="17DBD004" w:rsidR="00E568A1" w:rsidRPr="00A94586" w:rsidRDefault="00E568A1" w:rsidP="0037724F">
      <w:pPr>
        <w:autoSpaceDE w:val="0"/>
        <w:autoSpaceDN w:val="0"/>
        <w:adjustRightInd w:val="0"/>
        <w:spacing w:after="0" w:line="240" w:lineRule="auto"/>
        <w:jc w:val="both"/>
        <w:rPr>
          <w:rFonts w:ascii="Arial" w:hAnsi="Arial" w:cs="Arial"/>
          <w:color w:val="000000"/>
          <w:lang w:val="uk-UA"/>
        </w:rPr>
      </w:pPr>
      <w:r w:rsidRPr="004C5418">
        <w:rPr>
          <w:rFonts w:ascii="Arial" w:hAnsi="Arial" w:cs="Arial"/>
          <w:color w:val="000000"/>
        </w:rPr>
        <w:t>Було також висловлено занеп</w:t>
      </w:r>
      <w:r w:rsidR="00C620D6">
        <w:rPr>
          <w:rFonts w:ascii="Arial" w:hAnsi="Arial" w:cs="Arial"/>
          <w:color w:val="000000"/>
        </w:rPr>
        <w:t xml:space="preserve">окоєння, що за відсутності результатів тестів </w:t>
      </w:r>
      <w:r w:rsidR="00C620D6" w:rsidRPr="004C5418">
        <w:rPr>
          <w:rFonts w:ascii="Arial" w:hAnsi="Arial" w:cs="Arial"/>
          <w:color w:val="000000"/>
        </w:rPr>
        <w:t>на чутливість до лікарських препаратів</w:t>
      </w:r>
      <w:r w:rsidR="00C620D6">
        <w:rPr>
          <w:rFonts w:ascii="Arial" w:hAnsi="Arial" w:cs="Arial"/>
          <w:color w:val="000000"/>
        </w:rPr>
        <w:t xml:space="preserve"> пацієнтів </w:t>
      </w:r>
      <w:r w:rsidRPr="004C5418">
        <w:rPr>
          <w:rFonts w:ascii="Arial" w:hAnsi="Arial" w:cs="Arial"/>
          <w:color w:val="000000"/>
        </w:rPr>
        <w:t>в різних групах,</w:t>
      </w:r>
      <w:r w:rsidR="002347C6">
        <w:rPr>
          <w:rFonts w:ascii="Arial" w:hAnsi="Arial" w:cs="Arial"/>
          <w:color w:val="000000"/>
          <w:lang w:val="uk-UA"/>
        </w:rPr>
        <w:t xml:space="preserve"> фоновий режим лікування</w:t>
      </w:r>
      <w:r w:rsidRPr="004C5418">
        <w:rPr>
          <w:rFonts w:ascii="Arial" w:hAnsi="Arial" w:cs="Arial"/>
          <w:color w:val="000000"/>
        </w:rPr>
        <w:t xml:space="preserve">, </w:t>
      </w:r>
      <w:r w:rsidR="00C620D6">
        <w:rPr>
          <w:rFonts w:ascii="Arial" w:hAnsi="Arial" w:cs="Arial"/>
          <w:color w:val="000000"/>
        </w:rPr>
        <w:t xml:space="preserve">який застосовувався на разних сайтах, </w:t>
      </w:r>
      <w:r w:rsidRPr="004C5418">
        <w:rPr>
          <w:rFonts w:ascii="Arial" w:hAnsi="Arial" w:cs="Arial"/>
          <w:color w:val="000000"/>
        </w:rPr>
        <w:t>можливо</w:t>
      </w:r>
      <w:r w:rsidR="002347C6">
        <w:rPr>
          <w:rFonts w:ascii="Arial" w:hAnsi="Arial" w:cs="Arial"/>
          <w:color w:val="000000"/>
          <w:lang w:val="uk-UA"/>
        </w:rPr>
        <w:t>,</w:t>
      </w:r>
      <w:r w:rsidRPr="004C5418">
        <w:rPr>
          <w:rFonts w:ascii="Arial" w:hAnsi="Arial" w:cs="Arial"/>
          <w:color w:val="000000"/>
        </w:rPr>
        <w:t xml:space="preserve"> не відповідав рекомендаціям ВООЗ.</w:t>
      </w:r>
      <w:r>
        <w:rPr>
          <w:rFonts w:ascii="Arial" w:hAnsi="Arial" w:cs="Arial"/>
          <w:color w:val="000000"/>
          <w:lang w:val="uk-UA"/>
        </w:rPr>
        <w:t xml:space="preserve"> </w:t>
      </w:r>
      <w:r w:rsidRPr="00A94586">
        <w:rPr>
          <w:rFonts w:ascii="Arial" w:hAnsi="Arial" w:cs="Arial"/>
          <w:color w:val="000000"/>
          <w:lang w:val="uk-UA"/>
        </w:rPr>
        <w:t>Ще більше занепокоєння викликало узагальнення даних для цільової гру</w:t>
      </w:r>
      <w:r w:rsidR="00C620D6">
        <w:rPr>
          <w:rFonts w:ascii="Arial" w:hAnsi="Arial" w:cs="Arial"/>
          <w:color w:val="000000"/>
          <w:lang w:val="uk-UA"/>
        </w:rPr>
        <w:t>пи пацієнтів (наприклад, велика</w:t>
      </w:r>
      <w:r w:rsidRPr="00A94586">
        <w:rPr>
          <w:rFonts w:ascii="Arial" w:hAnsi="Arial" w:cs="Arial"/>
          <w:color w:val="000000"/>
          <w:lang w:val="uk-UA"/>
        </w:rPr>
        <w:t xml:space="preserve"> </w:t>
      </w:r>
      <w:r w:rsidR="00296512" w:rsidRPr="00296512">
        <w:rPr>
          <w:rFonts w:ascii="Arial" w:hAnsi="Arial" w:cs="Arial"/>
          <w:color w:val="000000"/>
          <w:lang w:val="uk-UA"/>
        </w:rPr>
        <w:t xml:space="preserve">частка пацієнтів із коінфекцією туберкульоз/ВІЛ-інфекція </w:t>
      </w:r>
      <w:r w:rsidR="00C620D6">
        <w:rPr>
          <w:rFonts w:ascii="Arial" w:hAnsi="Arial" w:cs="Arial"/>
          <w:color w:val="000000"/>
          <w:lang w:val="uk-UA"/>
        </w:rPr>
        <w:t xml:space="preserve">виявлена </w:t>
      </w:r>
      <w:r w:rsidR="00296512">
        <w:rPr>
          <w:rFonts w:ascii="Arial" w:hAnsi="Arial" w:cs="Arial"/>
          <w:color w:val="000000"/>
          <w:lang w:val="uk-UA"/>
        </w:rPr>
        <w:t xml:space="preserve">у групі плацебо; пацієнти з РР </w:t>
      </w:r>
      <w:r w:rsidRPr="00A94586">
        <w:rPr>
          <w:rFonts w:ascii="Arial" w:hAnsi="Arial" w:cs="Arial"/>
          <w:color w:val="000000"/>
          <w:lang w:val="uk-UA"/>
        </w:rPr>
        <w:t>ТБ були виключені).</w:t>
      </w:r>
    </w:p>
    <w:p w14:paraId="2C2983B5" w14:textId="77777777" w:rsidR="00E568A1" w:rsidRPr="004C5418" w:rsidRDefault="00E568A1" w:rsidP="0037724F">
      <w:pPr>
        <w:autoSpaceDE w:val="0"/>
        <w:autoSpaceDN w:val="0"/>
        <w:adjustRightInd w:val="0"/>
        <w:spacing w:after="0" w:line="240" w:lineRule="auto"/>
        <w:jc w:val="both"/>
        <w:rPr>
          <w:rFonts w:ascii="Arial" w:hAnsi="Arial" w:cs="Arial"/>
          <w:color w:val="000000"/>
          <w:lang w:val="uk-UA"/>
        </w:rPr>
      </w:pPr>
    </w:p>
    <w:p w14:paraId="4FAE8893" w14:textId="357C29E3" w:rsidR="00E568A1" w:rsidRPr="00A94586" w:rsidRDefault="00E568A1" w:rsidP="0037724F">
      <w:pPr>
        <w:autoSpaceDE w:val="0"/>
        <w:autoSpaceDN w:val="0"/>
        <w:adjustRightInd w:val="0"/>
        <w:spacing w:after="0" w:line="240" w:lineRule="auto"/>
        <w:jc w:val="both"/>
        <w:rPr>
          <w:rFonts w:ascii="Arial" w:hAnsi="Arial" w:cs="Arial"/>
          <w:color w:val="000000"/>
          <w:lang w:val="uk-UA"/>
        </w:rPr>
      </w:pPr>
      <w:r w:rsidRPr="00BD1951">
        <w:rPr>
          <w:rFonts w:ascii="Arial" w:hAnsi="Arial" w:cs="Arial"/>
          <w:color w:val="000000"/>
          <w:lang w:val="uk-UA"/>
        </w:rPr>
        <w:t>Наре</w:t>
      </w:r>
      <w:r w:rsidRPr="00A94586">
        <w:rPr>
          <w:rFonts w:ascii="Arial" w:hAnsi="Arial" w:cs="Arial"/>
          <w:color w:val="000000"/>
          <w:lang w:val="uk-UA"/>
        </w:rPr>
        <w:t xml:space="preserve">шті, занепокоєння </w:t>
      </w:r>
      <w:r w:rsidR="00E71B49">
        <w:rPr>
          <w:rFonts w:ascii="Arial" w:hAnsi="Arial" w:cs="Arial"/>
          <w:color w:val="000000"/>
          <w:lang w:val="uk-UA"/>
        </w:rPr>
        <w:t>викликало</w:t>
      </w:r>
      <w:r w:rsidRPr="00A94586">
        <w:rPr>
          <w:rFonts w:ascii="Arial" w:hAnsi="Arial" w:cs="Arial"/>
          <w:color w:val="000000"/>
          <w:lang w:val="uk-UA"/>
        </w:rPr>
        <w:t xml:space="preserve"> узагальнення висновків дослідження для всіх груп населення та всіх регіонів у світі. Таким чином, загальна якість доказів ефективності була оцінена як "низька", тобто E</w:t>
      </w:r>
      <w:r w:rsidR="00BD1951">
        <w:rPr>
          <w:rFonts w:ascii="Arial" w:hAnsi="Arial" w:cs="Arial"/>
          <w:color w:val="000000"/>
          <w:lang w:val="uk-UA"/>
        </w:rPr>
        <w:t xml:space="preserve">Г мала низьку впевненість щодо </w:t>
      </w:r>
      <w:r w:rsidRPr="00A94586">
        <w:rPr>
          <w:rFonts w:ascii="Arial" w:hAnsi="Arial" w:cs="Arial"/>
          <w:color w:val="000000"/>
          <w:lang w:val="uk-UA"/>
        </w:rPr>
        <w:t>оцінки ефекту (або ефективності) бедаквіліну.</w:t>
      </w:r>
    </w:p>
    <w:p w14:paraId="75BA56BA" w14:textId="77777777" w:rsidR="00452421" w:rsidRDefault="00452421" w:rsidP="0037724F">
      <w:pPr>
        <w:autoSpaceDE w:val="0"/>
        <w:autoSpaceDN w:val="0"/>
        <w:adjustRightInd w:val="0"/>
        <w:spacing w:after="0" w:line="240" w:lineRule="auto"/>
        <w:jc w:val="both"/>
        <w:rPr>
          <w:rFonts w:ascii="Arial" w:hAnsi="Arial" w:cs="Arial"/>
          <w:color w:val="000000"/>
          <w:lang w:val="uk-UA"/>
        </w:rPr>
      </w:pPr>
    </w:p>
    <w:p w14:paraId="089E09EC" w14:textId="7C8A6E11" w:rsidR="00E568A1" w:rsidRPr="00A918C2" w:rsidRDefault="00E568A1" w:rsidP="0037724F">
      <w:pPr>
        <w:autoSpaceDE w:val="0"/>
        <w:autoSpaceDN w:val="0"/>
        <w:adjustRightInd w:val="0"/>
        <w:spacing w:after="0" w:line="240" w:lineRule="auto"/>
        <w:jc w:val="both"/>
        <w:rPr>
          <w:rFonts w:ascii="Arial" w:hAnsi="Arial" w:cs="Arial"/>
          <w:color w:val="000000"/>
        </w:rPr>
      </w:pPr>
      <w:r w:rsidRPr="00452421">
        <w:rPr>
          <w:rFonts w:ascii="Arial" w:hAnsi="Arial" w:cs="Arial"/>
          <w:color w:val="000000"/>
          <w:lang w:val="uk-UA"/>
        </w:rPr>
        <w:t>ЕГ висловила зане</w:t>
      </w:r>
      <w:r w:rsidR="00C67426">
        <w:rPr>
          <w:rFonts w:ascii="Arial" w:hAnsi="Arial" w:cs="Arial"/>
          <w:color w:val="000000"/>
          <w:lang w:val="uk-UA"/>
        </w:rPr>
        <w:t>покоєння щодо ризику подовженя</w:t>
      </w:r>
      <w:r w:rsidRPr="00452421">
        <w:rPr>
          <w:rFonts w:ascii="Arial" w:hAnsi="Arial" w:cs="Arial"/>
          <w:color w:val="000000"/>
          <w:lang w:val="uk-UA"/>
        </w:rPr>
        <w:t xml:space="preserve"> </w:t>
      </w:r>
      <w:r w:rsidR="00C67426">
        <w:rPr>
          <w:rFonts w:ascii="Arial" w:hAnsi="Arial" w:cs="Arial"/>
          <w:color w:val="000000"/>
          <w:lang w:val="uk-UA"/>
        </w:rPr>
        <w:t xml:space="preserve">інтервалу </w:t>
      </w:r>
      <w:r w:rsidRPr="00A918C2">
        <w:rPr>
          <w:rFonts w:ascii="Arial" w:hAnsi="Arial" w:cs="Arial"/>
          <w:color w:val="000000"/>
          <w:lang w:val="en-US"/>
        </w:rPr>
        <w:t>QT</w:t>
      </w:r>
      <w:r w:rsidR="00C67426">
        <w:rPr>
          <w:rFonts w:ascii="Arial" w:hAnsi="Arial" w:cs="Arial"/>
          <w:color w:val="000000"/>
          <w:lang w:val="uk-UA"/>
        </w:rPr>
        <w:t xml:space="preserve"> та ад</w:t>
      </w:r>
      <w:r w:rsidRPr="00452421">
        <w:rPr>
          <w:rFonts w:ascii="Arial" w:hAnsi="Arial" w:cs="Arial"/>
          <w:color w:val="000000"/>
          <w:lang w:val="uk-UA"/>
        </w:rPr>
        <w:t xml:space="preserve">итивного ефекту від застосування комбінації з іншими препаратами </w:t>
      </w:r>
      <w:r w:rsidR="00E71B49">
        <w:rPr>
          <w:rFonts w:ascii="Arial" w:hAnsi="Arial" w:cs="Arial"/>
          <w:color w:val="000000"/>
          <w:lang w:val="uk-UA"/>
        </w:rPr>
        <w:t xml:space="preserve">для </w:t>
      </w:r>
      <w:r w:rsidR="006B6D0B">
        <w:rPr>
          <w:rFonts w:ascii="Arial" w:hAnsi="Arial" w:cs="Arial"/>
          <w:color w:val="000000"/>
          <w:lang w:val="uk-UA"/>
        </w:rPr>
        <w:t>МР ТБ, які</w:t>
      </w:r>
      <w:r w:rsidRPr="00452421">
        <w:rPr>
          <w:rFonts w:ascii="Arial" w:hAnsi="Arial" w:cs="Arial"/>
          <w:color w:val="000000"/>
          <w:lang w:val="uk-UA"/>
        </w:rPr>
        <w:t xml:space="preserve">, як повідомлялося,  </w:t>
      </w:r>
      <w:r w:rsidR="006B6D0B">
        <w:rPr>
          <w:rFonts w:ascii="Arial" w:hAnsi="Arial" w:cs="Arial"/>
          <w:color w:val="000000"/>
          <w:lang w:val="uk-UA"/>
        </w:rPr>
        <w:t xml:space="preserve">також сприяли подовженню інтервалу </w:t>
      </w:r>
      <w:r w:rsidRPr="00A918C2">
        <w:rPr>
          <w:rFonts w:ascii="Arial" w:hAnsi="Arial" w:cs="Arial"/>
          <w:color w:val="000000"/>
          <w:lang w:val="en-US"/>
        </w:rPr>
        <w:t>QT</w:t>
      </w:r>
      <w:r w:rsidRPr="00452421">
        <w:rPr>
          <w:rFonts w:ascii="Arial" w:hAnsi="Arial" w:cs="Arial"/>
          <w:color w:val="000000"/>
          <w:lang w:val="uk-UA"/>
        </w:rPr>
        <w:t xml:space="preserve">. </w:t>
      </w:r>
      <w:r w:rsidRPr="00713994">
        <w:rPr>
          <w:rFonts w:ascii="Arial" w:hAnsi="Arial" w:cs="Arial"/>
          <w:color w:val="000000"/>
          <w:lang w:val="uk-UA"/>
        </w:rPr>
        <w:t xml:space="preserve">ЕГ також висловила стурбованість щодо супутніх захворювань (особливо ВІЛ-інфекції та захворювань печінки), а також про вплив вживання алкоголю або </w:t>
      </w:r>
      <w:r w:rsidR="00E71B49">
        <w:rPr>
          <w:rFonts w:ascii="Arial" w:hAnsi="Arial" w:cs="Arial"/>
          <w:color w:val="000000"/>
          <w:lang w:val="uk-UA"/>
        </w:rPr>
        <w:t xml:space="preserve">наркотичних </w:t>
      </w:r>
      <w:r w:rsidRPr="00713994">
        <w:rPr>
          <w:rFonts w:ascii="Arial" w:hAnsi="Arial" w:cs="Arial"/>
          <w:color w:val="000000"/>
          <w:lang w:val="uk-UA"/>
        </w:rPr>
        <w:t xml:space="preserve">речовин на ризик виникнення серйозних побічних ефектів. </w:t>
      </w:r>
      <w:r w:rsidR="00452421">
        <w:rPr>
          <w:rFonts w:ascii="Arial" w:hAnsi="Arial" w:cs="Arial"/>
          <w:color w:val="000000"/>
        </w:rPr>
        <w:t>Таким чином, докази безпе</w:t>
      </w:r>
      <w:r w:rsidR="00452421">
        <w:rPr>
          <w:rFonts w:ascii="Arial" w:hAnsi="Arial" w:cs="Arial"/>
          <w:color w:val="000000"/>
          <w:lang w:val="uk-UA"/>
        </w:rPr>
        <w:t>чності</w:t>
      </w:r>
      <w:r w:rsidRPr="00A918C2">
        <w:rPr>
          <w:rFonts w:ascii="Arial" w:hAnsi="Arial" w:cs="Arial"/>
          <w:color w:val="000000"/>
        </w:rPr>
        <w:t xml:space="preserve">, відображені </w:t>
      </w:r>
      <w:r w:rsidR="006B6D0B">
        <w:rPr>
          <w:rFonts w:ascii="Arial" w:hAnsi="Arial" w:cs="Arial"/>
          <w:color w:val="000000"/>
          <w:lang w:val="uk-UA"/>
        </w:rPr>
        <w:t>у інформації стосовно побічних реакцій,</w:t>
      </w:r>
      <w:r w:rsidRPr="00A918C2">
        <w:rPr>
          <w:rFonts w:ascii="Arial" w:hAnsi="Arial" w:cs="Arial"/>
          <w:color w:val="000000"/>
        </w:rPr>
        <w:t xml:space="preserve"> оцінювалися як "дуже низькі".</w:t>
      </w:r>
    </w:p>
    <w:p w14:paraId="31EF4906" w14:textId="77777777" w:rsidR="00E568A1" w:rsidRDefault="00E568A1" w:rsidP="0037724F">
      <w:pPr>
        <w:autoSpaceDE w:val="0"/>
        <w:autoSpaceDN w:val="0"/>
        <w:adjustRightInd w:val="0"/>
        <w:spacing w:after="0" w:line="240" w:lineRule="auto"/>
        <w:jc w:val="both"/>
        <w:rPr>
          <w:rFonts w:ascii="Arial" w:hAnsi="Arial" w:cs="Arial"/>
          <w:color w:val="000000"/>
          <w:sz w:val="20"/>
          <w:szCs w:val="20"/>
          <w:lang w:val="uk-UA"/>
        </w:rPr>
      </w:pPr>
    </w:p>
    <w:p w14:paraId="43D13E0D" w14:textId="69C48D23" w:rsidR="00E568A1" w:rsidRDefault="00E568A1" w:rsidP="0037724F">
      <w:pPr>
        <w:autoSpaceDE w:val="0"/>
        <w:autoSpaceDN w:val="0"/>
        <w:adjustRightInd w:val="0"/>
        <w:spacing w:after="0" w:line="240" w:lineRule="auto"/>
        <w:jc w:val="both"/>
        <w:rPr>
          <w:rFonts w:ascii="Arial" w:hAnsi="Arial" w:cs="Arial"/>
          <w:color w:val="000000"/>
          <w:lang w:val="uk-UA"/>
        </w:rPr>
      </w:pPr>
      <w:r w:rsidRPr="00452421">
        <w:rPr>
          <w:rFonts w:ascii="Arial" w:hAnsi="Arial" w:cs="Arial"/>
          <w:color w:val="000000"/>
          <w:lang w:val="uk-UA"/>
        </w:rPr>
        <w:t>ЕГ була надзвичайно стурбована різницею в показниках смертності, що спостерігалася, між гру</w:t>
      </w:r>
      <w:r w:rsidR="00452421" w:rsidRPr="00452421">
        <w:rPr>
          <w:rFonts w:ascii="Arial" w:hAnsi="Arial" w:cs="Arial"/>
          <w:color w:val="000000"/>
          <w:lang w:val="uk-UA"/>
        </w:rPr>
        <w:t xml:space="preserve">пами бедаквіліну та плацебо </w:t>
      </w:r>
      <w:r w:rsidR="00452421">
        <w:rPr>
          <w:rFonts w:ascii="Arial" w:hAnsi="Arial" w:cs="Arial"/>
          <w:color w:val="000000"/>
          <w:lang w:val="uk-UA"/>
        </w:rPr>
        <w:t>на 2-му етапі</w:t>
      </w:r>
      <w:r w:rsidRPr="00452421">
        <w:rPr>
          <w:rFonts w:ascii="Arial" w:hAnsi="Arial" w:cs="Arial"/>
          <w:color w:val="000000"/>
          <w:lang w:val="uk-UA"/>
        </w:rPr>
        <w:t xml:space="preserve"> випробуваннях </w:t>
      </w:r>
      <w:r w:rsidR="00452421">
        <w:rPr>
          <w:rFonts w:ascii="Arial" w:hAnsi="Arial" w:cs="Arial"/>
          <w:color w:val="000000"/>
          <w:lang w:val="uk-UA"/>
        </w:rPr>
        <w:t>дослідження</w:t>
      </w:r>
      <w:r w:rsidRPr="00452421">
        <w:rPr>
          <w:rFonts w:ascii="Arial" w:hAnsi="Arial" w:cs="Arial"/>
          <w:color w:val="000000"/>
          <w:lang w:val="uk-UA"/>
        </w:rPr>
        <w:t xml:space="preserve"> </w:t>
      </w:r>
      <w:r w:rsidRPr="008F3682">
        <w:rPr>
          <w:rFonts w:ascii="Arial" w:hAnsi="Arial" w:cs="Arial"/>
          <w:color w:val="000000"/>
          <w:lang w:val="en-US"/>
        </w:rPr>
        <w:t>C</w:t>
      </w:r>
      <w:r w:rsidRPr="00452421">
        <w:rPr>
          <w:rFonts w:ascii="Arial" w:hAnsi="Arial" w:cs="Arial"/>
          <w:color w:val="000000"/>
          <w:lang w:val="uk-UA"/>
        </w:rPr>
        <w:t xml:space="preserve">208. </w:t>
      </w:r>
      <w:r w:rsidRPr="008F3682">
        <w:rPr>
          <w:rFonts w:ascii="Arial" w:hAnsi="Arial" w:cs="Arial"/>
          <w:color w:val="000000"/>
        </w:rPr>
        <w:t xml:space="preserve">Неможливо було </w:t>
      </w:r>
      <w:r w:rsidR="00452421">
        <w:rPr>
          <w:rFonts w:ascii="Arial" w:hAnsi="Arial" w:cs="Arial"/>
          <w:color w:val="000000"/>
          <w:lang w:val="uk-UA"/>
        </w:rPr>
        <w:t>про</w:t>
      </w:r>
      <w:r w:rsidRPr="008F3682">
        <w:rPr>
          <w:rFonts w:ascii="Arial" w:hAnsi="Arial" w:cs="Arial"/>
          <w:color w:val="000000"/>
        </w:rPr>
        <w:t>с</w:t>
      </w:r>
      <w:r w:rsidR="00452421">
        <w:rPr>
          <w:rFonts w:ascii="Arial" w:hAnsi="Arial" w:cs="Arial"/>
          <w:color w:val="000000"/>
        </w:rPr>
        <w:t>тежити чітку картину, а причина</w:t>
      </w:r>
      <w:r w:rsidRPr="008F3682">
        <w:rPr>
          <w:rFonts w:ascii="Arial" w:hAnsi="Arial" w:cs="Arial"/>
          <w:color w:val="000000"/>
        </w:rPr>
        <w:t>(и) дисбалансу були  незрозумілими. Таким чином, якість</w:t>
      </w:r>
      <w:r w:rsidR="008812D5">
        <w:rPr>
          <w:rFonts w:ascii="Arial" w:hAnsi="Arial" w:cs="Arial"/>
          <w:color w:val="000000"/>
        </w:rPr>
        <w:t xml:space="preserve"> доказів щодо</w:t>
      </w:r>
      <w:r w:rsidRPr="008F3682">
        <w:rPr>
          <w:rFonts w:ascii="Arial" w:hAnsi="Arial" w:cs="Arial"/>
          <w:color w:val="000000"/>
        </w:rPr>
        <w:t xml:space="preserve"> смертності як міри безпеки оцінювалася як "дуже низька".</w:t>
      </w:r>
    </w:p>
    <w:p w14:paraId="4D464E84" w14:textId="77777777" w:rsidR="00E568A1" w:rsidRPr="008F3682" w:rsidRDefault="00E568A1" w:rsidP="0037724F">
      <w:pPr>
        <w:autoSpaceDE w:val="0"/>
        <w:autoSpaceDN w:val="0"/>
        <w:adjustRightInd w:val="0"/>
        <w:spacing w:after="0" w:line="240" w:lineRule="auto"/>
        <w:jc w:val="both"/>
        <w:rPr>
          <w:rFonts w:ascii="Arial" w:hAnsi="Arial" w:cs="Arial"/>
          <w:color w:val="000000"/>
          <w:lang w:val="uk-UA"/>
        </w:rPr>
      </w:pPr>
    </w:p>
    <w:p w14:paraId="1D3EF6F8" w14:textId="79C3DC21" w:rsidR="00E568A1" w:rsidRDefault="00E568A1" w:rsidP="0037724F">
      <w:pPr>
        <w:autoSpaceDE w:val="0"/>
        <w:autoSpaceDN w:val="0"/>
        <w:adjustRightInd w:val="0"/>
        <w:spacing w:after="0" w:line="240" w:lineRule="auto"/>
        <w:jc w:val="both"/>
        <w:rPr>
          <w:rFonts w:ascii="Arial" w:hAnsi="Arial" w:cs="Arial"/>
          <w:color w:val="000000"/>
          <w:lang w:val="uk-UA"/>
        </w:rPr>
      </w:pPr>
      <w:r w:rsidRPr="008E6181">
        <w:rPr>
          <w:rFonts w:ascii="Arial" w:hAnsi="Arial" w:cs="Arial"/>
          <w:color w:val="000000"/>
        </w:rPr>
        <w:t xml:space="preserve">Нарешті, ЕГ </w:t>
      </w:r>
      <w:r w:rsidR="00452421">
        <w:rPr>
          <w:rFonts w:ascii="Arial" w:hAnsi="Arial" w:cs="Arial"/>
          <w:color w:val="000000"/>
          <w:lang w:val="uk-UA"/>
        </w:rPr>
        <w:t>була</w:t>
      </w:r>
      <w:r w:rsidRPr="008E6181">
        <w:rPr>
          <w:rFonts w:ascii="Arial" w:hAnsi="Arial" w:cs="Arial"/>
          <w:color w:val="000000"/>
        </w:rPr>
        <w:t xml:space="preserve"> занепокоє</w:t>
      </w:r>
      <w:r w:rsidR="00452421">
        <w:rPr>
          <w:rFonts w:ascii="Arial" w:hAnsi="Arial" w:cs="Arial"/>
          <w:color w:val="000000"/>
          <w:lang w:val="uk-UA"/>
        </w:rPr>
        <w:t>на</w:t>
      </w:r>
      <w:r w:rsidRPr="008E6181">
        <w:rPr>
          <w:rFonts w:ascii="Arial" w:hAnsi="Arial" w:cs="Arial"/>
          <w:color w:val="000000"/>
        </w:rPr>
        <w:t xml:space="preserve"> наявними даними щодо виникнення резистентності через високий ризик </w:t>
      </w:r>
      <w:r w:rsidR="008E6181">
        <w:rPr>
          <w:rFonts w:ascii="Arial" w:hAnsi="Arial" w:cs="Arial"/>
          <w:color w:val="000000"/>
          <w:lang w:val="uk-UA"/>
        </w:rPr>
        <w:t>помилки</w:t>
      </w:r>
      <w:r w:rsidRPr="008E6181">
        <w:rPr>
          <w:rFonts w:ascii="Arial" w:hAnsi="Arial" w:cs="Arial"/>
          <w:color w:val="000000"/>
        </w:rPr>
        <w:t xml:space="preserve">, оскільки не були </w:t>
      </w:r>
      <w:r w:rsidR="008E6181">
        <w:rPr>
          <w:rFonts w:ascii="Arial" w:hAnsi="Arial" w:cs="Arial"/>
          <w:color w:val="000000"/>
          <w:lang w:val="uk-UA"/>
        </w:rPr>
        <w:t>представлені</w:t>
      </w:r>
      <w:r w:rsidRPr="008E6181">
        <w:rPr>
          <w:rFonts w:ascii="Arial" w:hAnsi="Arial" w:cs="Arial"/>
          <w:color w:val="000000"/>
        </w:rPr>
        <w:t xml:space="preserve"> </w:t>
      </w:r>
      <w:r w:rsidR="00D700BC">
        <w:rPr>
          <w:rFonts w:ascii="Arial" w:hAnsi="Arial" w:cs="Arial"/>
          <w:color w:val="000000"/>
        </w:rPr>
        <w:t>си</w:t>
      </w:r>
      <w:r w:rsidR="00D45540">
        <w:rPr>
          <w:rFonts w:ascii="Arial" w:hAnsi="Arial" w:cs="Arial"/>
          <w:color w:val="000000"/>
        </w:rPr>
        <w:t xml:space="preserve">стематичні та послідовні дані </w:t>
      </w:r>
      <w:r w:rsidRPr="008E6181">
        <w:rPr>
          <w:rFonts w:ascii="Arial" w:hAnsi="Arial" w:cs="Arial"/>
          <w:color w:val="000000"/>
        </w:rPr>
        <w:t xml:space="preserve"> </w:t>
      </w:r>
      <w:r w:rsidR="00D45540">
        <w:rPr>
          <w:rFonts w:ascii="Arial" w:hAnsi="Arial" w:cs="Arial"/>
          <w:color w:val="000000"/>
        </w:rPr>
        <w:t>щодо чутливості</w:t>
      </w:r>
      <w:r w:rsidRPr="008E6181">
        <w:rPr>
          <w:rFonts w:ascii="Arial" w:hAnsi="Arial" w:cs="Arial"/>
          <w:color w:val="000000"/>
        </w:rPr>
        <w:t xml:space="preserve"> </w:t>
      </w:r>
      <w:r w:rsidR="00D45540">
        <w:rPr>
          <w:rFonts w:ascii="Arial" w:hAnsi="Arial" w:cs="Arial"/>
          <w:color w:val="000000"/>
        </w:rPr>
        <w:t xml:space="preserve">до </w:t>
      </w:r>
      <w:r w:rsidRPr="008E6181">
        <w:rPr>
          <w:rFonts w:ascii="Arial" w:hAnsi="Arial" w:cs="Arial"/>
          <w:color w:val="000000"/>
        </w:rPr>
        <w:t>пре</w:t>
      </w:r>
      <w:r w:rsidR="00D45540">
        <w:rPr>
          <w:rFonts w:ascii="Arial" w:hAnsi="Arial" w:cs="Arial"/>
          <w:color w:val="000000"/>
        </w:rPr>
        <w:t>паратів штамів</w:t>
      </w:r>
      <w:r w:rsidRPr="008E6181">
        <w:rPr>
          <w:rFonts w:ascii="Arial" w:hAnsi="Arial" w:cs="Arial"/>
          <w:color w:val="000000"/>
        </w:rPr>
        <w:t xml:space="preserve"> пацієнтів (наприклад, при </w:t>
      </w:r>
      <w:r w:rsidR="008E6181">
        <w:rPr>
          <w:rFonts w:ascii="Arial" w:hAnsi="Arial" w:cs="Arial"/>
          <w:color w:val="000000"/>
          <w:lang w:val="uk-UA"/>
        </w:rPr>
        <w:t>реєстрації</w:t>
      </w:r>
      <w:r w:rsidRPr="008E6181">
        <w:rPr>
          <w:rFonts w:ascii="Arial" w:hAnsi="Arial" w:cs="Arial"/>
          <w:color w:val="000000"/>
        </w:rPr>
        <w:t xml:space="preserve"> та під час спостереження). </w:t>
      </w:r>
      <w:r w:rsidRPr="00564451">
        <w:rPr>
          <w:rFonts w:ascii="Arial" w:hAnsi="Arial" w:cs="Arial"/>
          <w:color w:val="000000"/>
        </w:rPr>
        <w:t xml:space="preserve">Таким чином, якість </w:t>
      </w:r>
      <w:r w:rsidR="00D45540">
        <w:rPr>
          <w:rFonts w:ascii="Arial" w:hAnsi="Arial" w:cs="Arial"/>
          <w:color w:val="000000"/>
          <w:lang w:val="uk-UA"/>
        </w:rPr>
        <w:t>доказів щодо набуття</w:t>
      </w:r>
      <w:r w:rsidRPr="00564451">
        <w:rPr>
          <w:rFonts w:ascii="Arial" w:hAnsi="Arial" w:cs="Arial"/>
          <w:color w:val="000000"/>
        </w:rPr>
        <w:t xml:space="preserve"> резистентності до фторхінолонів, аміноглікозидів або капреоміцину оцінювалася як "дуже низька".</w:t>
      </w:r>
    </w:p>
    <w:p w14:paraId="139559D8" w14:textId="77777777" w:rsidR="00E568A1" w:rsidRPr="00564451" w:rsidRDefault="00E568A1" w:rsidP="0037724F">
      <w:pPr>
        <w:autoSpaceDE w:val="0"/>
        <w:autoSpaceDN w:val="0"/>
        <w:adjustRightInd w:val="0"/>
        <w:spacing w:after="0" w:line="240" w:lineRule="auto"/>
        <w:jc w:val="both"/>
        <w:rPr>
          <w:rFonts w:ascii="Arial" w:hAnsi="Arial" w:cs="Arial"/>
          <w:color w:val="000000"/>
          <w:lang w:val="uk-UA"/>
        </w:rPr>
      </w:pPr>
    </w:p>
    <w:p w14:paraId="690B062E" w14:textId="77777777" w:rsidR="00E66BD0" w:rsidRPr="00E76E86" w:rsidRDefault="00E66BD0" w:rsidP="00E66BD0">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На прохання ВООЗ, незалежний консультант розробив модель економічної ефективності</w:t>
      </w:r>
      <w:r w:rsidRPr="00740BE2">
        <w:rPr>
          <w:rFonts w:ascii="Arial" w:hAnsi="Arial" w:cs="Arial"/>
          <w:color w:val="000000"/>
          <w:lang w:val="uk-UA"/>
        </w:rPr>
        <w:t xml:space="preserve"> бедаквіліну до рекомендованих ВООЗ режимів лікування </w:t>
      </w:r>
      <w:r>
        <w:rPr>
          <w:rFonts w:ascii="Arial" w:hAnsi="Arial" w:cs="Arial"/>
          <w:color w:val="000000"/>
          <w:lang w:val="uk-UA"/>
        </w:rPr>
        <w:t>МР</w:t>
      </w:r>
      <w:r w:rsidRPr="00740BE2">
        <w:rPr>
          <w:rFonts w:ascii="Arial" w:hAnsi="Arial" w:cs="Arial"/>
          <w:color w:val="000000"/>
          <w:lang w:val="uk-UA"/>
        </w:rPr>
        <w:t xml:space="preserve"> ТБ</w:t>
      </w:r>
      <w:r>
        <w:rPr>
          <w:rFonts w:ascii="Arial" w:hAnsi="Arial" w:cs="Arial"/>
          <w:color w:val="000000"/>
          <w:lang w:val="uk-UA"/>
        </w:rPr>
        <w:t xml:space="preserve">. Результати моделювання надалі розглядалися ЕГ. </w:t>
      </w:r>
      <w:r w:rsidRPr="00740BE2">
        <w:rPr>
          <w:rFonts w:ascii="Arial" w:hAnsi="Arial" w:cs="Arial"/>
          <w:color w:val="000000"/>
          <w:lang w:val="uk-UA"/>
        </w:rPr>
        <w:t xml:space="preserve">У моделі передбачалося, що бедаквілін буде доданий до курсу лікування для всіх пацієнтів, які розпочали лікування </w:t>
      </w:r>
      <w:r>
        <w:rPr>
          <w:rFonts w:ascii="Arial" w:hAnsi="Arial" w:cs="Arial"/>
          <w:color w:val="000000"/>
          <w:lang w:val="uk-UA"/>
        </w:rPr>
        <w:t>МР ТБ</w:t>
      </w:r>
      <w:r w:rsidRPr="00740BE2">
        <w:rPr>
          <w:rFonts w:ascii="Arial" w:hAnsi="Arial" w:cs="Arial"/>
          <w:color w:val="000000"/>
          <w:lang w:val="uk-UA"/>
        </w:rPr>
        <w:t>.</w:t>
      </w:r>
      <w:r>
        <w:rPr>
          <w:rFonts w:ascii="Arial" w:hAnsi="Arial" w:cs="Arial"/>
          <w:color w:val="000000"/>
          <w:lang w:val="uk-UA"/>
        </w:rPr>
        <w:t xml:space="preserve"> На момент розробки моделі, були доступні</w:t>
      </w:r>
      <w:r w:rsidRPr="00740BE2">
        <w:rPr>
          <w:rFonts w:ascii="Arial" w:hAnsi="Arial" w:cs="Arial"/>
          <w:color w:val="000000"/>
          <w:lang w:val="uk-UA"/>
        </w:rPr>
        <w:t xml:space="preserve"> дані ВООЗ стосовно поточних витрат на лікування </w:t>
      </w:r>
      <w:r>
        <w:rPr>
          <w:rFonts w:ascii="Arial" w:hAnsi="Arial" w:cs="Arial"/>
          <w:color w:val="000000"/>
          <w:lang w:val="uk-UA"/>
        </w:rPr>
        <w:t>МР ТБ</w:t>
      </w:r>
      <w:r w:rsidRPr="00740BE2">
        <w:rPr>
          <w:rFonts w:ascii="Arial" w:hAnsi="Arial" w:cs="Arial"/>
          <w:color w:val="000000"/>
          <w:lang w:val="uk-UA"/>
        </w:rPr>
        <w:t xml:space="preserve"> (за винятком витрат на програму) та </w:t>
      </w:r>
      <w:r>
        <w:rPr>
          <w:rFonts w:ascii="Arial" w:hAnsi="Arial" w:cs="Arial"/>
          <w:color w:val="000000"/>
          <w:lang w:val="uk-UA"/>
        </w:rPr>
        <w:t>його ефективності</w:t>
      </w:r>
      <w:r w:rsidRPr="00740BE2">
        <w:rPr>
          <w:rFonts w:ascii="Arial" w:hAnsi="Arial" w:cs="Arial"/>
          <w:color w:val="000000"/>
          <w:lang w:val="uk-UA"/>
        </w:rPr>
        <w:t xml:space="preserve"> </w:t>
      </w:r>
      <w:r>
        <w:rPr>
          <w:rFonts w:ascii="Arial" w:hAnsi="Arial" w:cs="Arial"/>
          <w:color w:val="000000"/>
          <w:lang w:val="uk-UA"/>
        </w:rPr>
        <w:t>в регіонах з високим тягарем ТБ. Для цих регіонів,</w:t>
      </w:r>
      <w:r w:rsidRPr="00740BE2">
        <w:rPr>
          <w:rFonts w:ascii="Arial" w:hAnsi="Arial" w:cs="Arial"/>
          <w:color w:val="000000"/>
          <w:lang w:val="uk-UA"/>
        </w:rPr>
        <w:t xml:space="preserve"> </w:t>
      </w:r>
      <w:r>
        <w:rPr>
          <w:rFonts w:ascii="Arial" w:hAnsi="Arial" w:cs="Arial"/>
          <w:color w:val="000000"/>
          <w:lang w:val="uk-UA"/>
        </w:rPr>
        <w:t>б</w:t>
      </w:r>
      <w:r w:rsidRPr="00740BE2">
        <w:rPr>
          <w:rFonts w:ascii="Arial" w:hAnsi="Arial" w:cs="Arial"/>
          <w:color w:val="000000"/>
          <w:lang w:val="uk-UA"/>
        </w:rPr>
        <w:t xml:space="preserve">уло </w:t>
      </w:r>
      <w:r>
        <w:rPr>
          <w:rFonts w:ascii="Arial" w:hAnsi="Arial" w:cs="Arial"/>
          <w:color w:val="000000"/>
          <w:lang w:val="uk-UA"/>
        </w:rPr>
        <w:lastRenderedPageBreak/>
        <w:t>досліджено кілька сценаріїв</w:t>
      </w:r>
      <w:r w:rsidRPr="00740BE2">
        <w:rPr>
          <w:rFonts w:ascii="Arial" w:hAnsi="Arial" w:cs="Arial"/>
          <w:color w:val="000000"/>
          <w:lang w:val="uk-UA"/>
        </w:rPr>
        <w:t xml:space="preserve"> оцінки </w:t>
      </w:r>
      <w:r>
        <w:rPr>
          <w:rFonts w:ascii="Arial" w:hAnsi="Arial" w:cs="Arial"/>
          <w:color w:val="000000"/>
          <w:lang w:val="uk-UA"/>
        </w:rPr>
        <w:t xml:space="preserve">економічної </w:t>
      </w:r>
      <w:r w:rsidRPr="00740BE2">
        <w:rPr>
          <w:rFonts w:ascii="Arial" w:hAnsi="Arial" w:cs="Arial"/>
          <w:color w:val="000000"/>
          <w:lang w:val="uk-UA"/>
        </w:rPr>
        <w:t>ефективності бедаквіліну.</w:t>
      </w:r>
      <w:r>
        <w:rPr>
          <w:rFonts w:ascii="Arial" w:hAnsi="Arial" w:cs="Arial"/>
          <w:color w:val="000000"/>
          <w:lang w:val="uk-UA"/>
        </w:rPr>
        <w:t xml:space="preserve"> Згідно припущень</w:t>
      </w:r>
      <w:r w:rsidRPr="00C32A5C">
        <w:rPr>
          <w:rFonts w:ascii="Arial" w:hAnsi="Arial" w:cs="Arial"/>
          <w:color w:val="000000"/>
          <w:lang w:val="uk-UA"/>
        </w:rPr>
        <w:t xml:space="preserve"> при моделюванні, режими лікування, що містять бедаквілін, в більшості випадків оцінювалися як відносно ефективні, однак результати б</w:t>
      </w:r>
      <w:r>
        <w:rPr>
          <w:rFonts w:ascii="Arial" w:hAnsi="Arial" w:cs="Arial"/>
          <w:color w:val="000000"/>
          <w:lang w:val="uk-UA"/>
        </w:rPr>
        <w:t xml:space="preserve">ули неоднозначними щодо населення з </w:t>
      </w:r>
      <w:r w:rsidRPr="00C32A5C">
        <w:rPr>
          <w:rFonts w:ascii="Arial" w:hAnsi="Arial" w:cs="Arial"/>
          <w:color w:val="000000"/>
          <w:lang w:val="uk-UA"/>
        </w:rPr>
        <w:t xml:space="preserve">низьким рівнем доходу та дуже сильно залежали від припущень </w:t>
      </w:r>
      <w:r>
        <w:rPr>
          <w:rFonts w:ascii="Arial" w:hAnsi="Arial" w:cs="Arial"/>
          <w:color w:val="000000"/>
          <w:lang w:val="uk-UA"/>
        </w:rPr>
        <w:t>при узагальненні</w:t>
      </w:r>
      <w:r w:rsidRPr="00C32A5C">
        <w:rPr>
          <w:rFonts w:ascii="Arial" w:hAnsi="Arial" w:cs="Arial"/>
          <w:color w:val="000000"/>
          <w:lang w:val="uk-UA"/>
        </w:rPr>
        <w:t xml:space="preserve"> результатів випр</w:t>
      </w:r>
      <w:r>
        <w:rPr>
          <w:rFonts w:ascii="Arial" w:hAnsi="Arial" w:cs="Arial"/>
          <w:color w:val="000000"/>
          <w:lang w:val="uk-UA"/>
        </w:rPr>
        <w:t>обування, які проводилися у звичайних умовах інших сайтів</w:t>
      </w:r>
      <w:r w:rsidRPr="00C32A5C">
        <w:rPr>
          <w:rFonts w:ascii="Arial" w:hAnsi="Arial" w:cs="Arial"/>
          <w:color w:val="000000"/>
          <w:lang w:val="uk-UA"/>
        </w:rPr>
        <w:t>.</w:t>
      </w:r>
      <w:r>
        <w:rPr>
          <w:rFonts w:ascii="Arial" w:hAnsi="Arial" w:cs="Arial"/>
          <w:color w:val="000000"/>
          <w:lang w:val="uk-UA"/>
        </w:rPr>
        <w:t xml:space="preserve"> ЕГ зазначила, що необхідно </w:t>
      </w:r>
      <w:r w:rsidRPr="00E76E86">
        <w:rPr>
          <w:rFonts w:ascii="Arial" w:hAnsi="Arial" w:cs="Arial"/>
          <w:color w:val="000000"/>
          <w:lang w:val="uk-UA"/>
        </w:rPr>
        <w:t>провести додатковий аналіз для пер</w:t>
      </w:r>
      <w:r>
        <w:rPr>
          <w:rFonts w:ascii="Arial" w:hAnsi="Arial" w:cs="Arial"/>
          <w:color w:val="000000"/>
          <w:lang w:val="uk-UA"/>
        </w:rPr>
        <w:t>евірки надійності припущень на різних сайтах і що оцінка доступності лікування повинна проводитися окремо</w:t>
      </w:r>
      <w:r w:rsidRPr="00E76E86">
        <w:rPr>
          <w:rFonts w:ascii="Arial" w:hAnsi="Arial" w:cs="Arial"/>
          <w:color w:val="000000"/>
          <w:lang w:val="uk-UA"/>
        </w:rPr>
        <w:t xml:space="preserve">. Оскільки рекомендація ЕГ полягає в тому, щоб використовувати бедаквілін </w:t>
      </w:r>
      <w:r>
        <w:rPr>
          <w:rFonts w:ascii="Arial" w:hAnsi="Arial" w:cs="Arial"/>
          <w:color w:val="000000"/>
          <w:lang w:val="uk-UA"/>
        </w:rPr>
        <w:t xml:space="preserve">лише для окремих підгруп всієї популяції </w:t>
      </w:r>
      <w:r w:rsidRPr="00E76E86">
        <w:rPr>
          <w:rFonts w:ascii="Arial" w:hAnsi="Arial" w:cs="Arial"/>
          <w:color w:val="000000"/>
          <w:lang w:val="uk-UA"/>
        </w:rPr>
        <w:t xml:space="preserve">пацієнтів з </w:t>
      </w:r>
      <w:r>
        <w:rPr>
          <w:rFonts w:ascii="Arial" w:hAnsi="Arial" w:cs="Arial"/>
          <w:color w:val="000000"/>
          <w:lang w:val="uk-UA"/>
        </w:rPr>
        <w:t>МР ТБ</w:t>
      </w:r>
      <w:r w:rsidRPr="00E76E86">
        <w:rPr>
          <w:rFonts w:ascii="Arial" w:hAnsi="Arial" w:cs="Arial"/>
          <w:color w:val="000000"/>
          <w:lang w:val="uk-UA"/>
        </w:rPr>
        <w:t xml:space="preserve"> (на відміну від усіх пацієнтів з </w:t>
      </w:r>
      <w:r>
        <w:rPr>
          <w:rFonts w:ascii="Arial" w:hAnsi="Arial" w:cs="Arial"/>
          <w:color w:val="000000"/>
          <w:lang w:val="uk-UA"/>
        </w:rPr>
        <w:t>МР ТБ</w:t>
      </w:r>
      <w:r w:rsidRPr="00E76E86">
        <w:rPr>
          <w:rFonts w:ascii="Arial" w:hAnsi="Arial" w:cs="Arial"/>
          <w:color w:val="000000"/>
          <w:lang w:val="uk-UA"/>
        </w:rPr>
        <w:t xml:space="preserve">, які були враховані при аналізі </w:t>
      </w:r>
      <w:r>
        <w:rPr>
          <w:rFonts w:ascii="Arial" w:hAnsi="Arial" w:cs="Arial"/>
          <w:color w:val="000000"/>
          <w:lang w:val="uk-UA"/>
        </w:rPr>
        <w:t>економічної ефективності), модель економічної</w:t>
      </w:r>
      <w:r w:rsidRPr="00E76E86">
        <w:rPr>
          <w:rFonts w:ascii="Arial" w:hAnsi="Arial" w:cs="Arial"/>
          <w:color w:val="000000"/>
          <w:lang w:val="uk-UA"/>
        </w:rPr>
        <w:t xml:space="preserve"> ефективності потребує подальшого вдосконалення таким чином, щоб ре</w:t>
      </w:r>
      <w:r>
        <w:rPr>
          <w:rFonts w:ascii="Arial" w:hAnsi="Arial" w:cs="Arial"/>
          <w:color w:val="000000"/>
          <w:lang w:val="uk-UA"/>
        </w:rPr>
        <w:t xml:space="preserve">зультати були </w:t>
      </w:r>
      <w:r w:rsidRPr="00E76E86">
        <w:rPr>
          <w:rFonts w:ascii="Arial" w:hAnsi="Arial" w:cs="Arial"/>
          <w:color w:val="000000"/>
          <w:lang w:val="uk-UA"/>
        </w:rPr>
        <w:t>доступними конкретно для цих підгруп.</w:t>
      </w:r>
    </w:p>
    <w:p w14:paraId="09358FF9" w14:textId="77777777" w:rsidR="00E568A1" w:rsidRPr="00057666" w:rsidRDefault="00E568A1" w:rsidP="0037724F">
      <w:pPr>
        <w:autoSpaceDE w:val="0"/>
        <w:autoSpaceDN w:val="0"/>
        <w:adjustRightInd w:val="0"/>
        <w:spacing w:after="0" w:line="240" w:lineRule="auto"/>
        <w:jc w:val="both"/>
        <w:rPr>
          <w:rFonts w:ascii="Arial" w:hAnsi="Arial" w:cs="Arial"/>
          <w:color w:val="000000"/>
        </w:rPr>
      </w:pPr>
    </w:p>
    <w:p w14:paraId="66E0E972" w14:textId="7E629EAC" w:rsidR="00E568A1" w:rsidRPr="00D46424" w:rsidRDefault="00E568A1" w:rsidP="0037724F">
      <w:pPr>
        <w:autoSpaceDE w:val="0"/>
        <w:autoSpaceDN w:val="0"/>
        <w:adjustRightInd w:val="0"/>
        <w:spacing w:after="0" w:line="240" w:lineRule="auto"/>
        <w:jc w:val="both"/>
        <w:rPr>
          <w:rFonts w:ascii="Arial" w:hAnsi="Arial" w:cs="Arial"/>
          <w:color w:val="000000"/>
        </w:rPr>
      </w:pPr>
      <w:r w:rsidRPr="00D46424">
        <w:rPr>
          <w:rFonts w:ascii="Arial" w:hAnsi="Arial" w:cs="Arial"/>
          <w:color w:val="000000"/>
        </w:rPr>
        <w:t xml:space="preserve">Остаточна оцінка </w:t>
      </w:r>
      <w:r w:rsidR="00057666" w:rsidRPr="00D46424">
        <w:rPr>
          <w:rFonts w:ascii="Arial" w:hAnsi="Arial" w:cs="Arial"/>
          <w:color w:val="000000"/>
          <w:lang w:val="uk-UA"/>
        </w:rPr>
        <w:t>результатів</w:t>
      </w:r>
      <w:r w:rsidRPr="00D46424">
        <w:rPr>
          <w:rFonts w:ascii="Arial" w:hAnsi="Arial" w:cs="Arial"/>
          <w:color w:val="000000"/>
        </w:rPr>
        <w:t xml:space="preserve"> </w:t>
      </w:r>
      <w:r w:rsidR="00057666" w:rsidRPr="00D46424">
        <w:rPr>
          <w:rFonts w:ascii="Arial" w:hAnsi="Arial" w:cs="Arial"/>
          <w:color w:val="000000"/>
          <w:lang w:val="uk-UA"/>
        </w:rPr>
        <w:t>щодо</w:t>
      </w:r>
      <w:r w:rsidRPr="00D46424">
        <w:rPr>
          <w:rFonts w:ascii="Arial" w:hAnsi="Arial" w:cs="Arial"/>
          <w:color w:val="000000"/>
        </w:rPr>
        <w:t xml:space="preserve"> </w:t>
      </w:r>
      <w:r w:rsidR="007D3500">
        <w:rPr>
          <w:rFonts w:ascii="Arial" w:hAnsi="Arial" w:cs="Arial"/>
          <w:color w:val="000000"/>
        </w:rPr>
        <w:t>застосування</w:t>
      </w:r>
      <w:r w:rsidRPr="00D46424">
        <w:rPr>
          <w:rFonts w:ascii="Arial" w:hAnsi="Arial" w:cs="Arial"/>
          <w:color w:val="000000"/>
        </w:rPr>
        <w:t xml:space="preserve"> бедаквіліну при лікуванні </w:t>
      </w:r>
      <w:r w:rsidR="009B51D9">
        <w:rPr>
          <w:rFonts w:ascii="Arial" w:hAnsi="Arial" w:cs="Arial"/>
          <w:color w:val="000000"/>
        </w:rPr>
        <w:t>МР ТБ</w:t>
      </w:r>
      <w:r w:rsidRPr="00D46424">
        <w:rPr>
          <w:rFonts w:ascii="Arial" w:hAnsi="Arial" w:cs="Arial"/>
          <w:color w:val="000000"/>
        </w:rPr>
        <w:t xml:space="preserve"> була "дуже низькою". В ме</w:t>
      </w:r>
      <w:r w:rsidR="00584D97">
        <w:rPr>
          <w:rFonts w:ascii="Arial" w:hAnsi="Arial" w:cs="Arial"/>
          <w:color w:val="000000"/>
        </w:rPr>
        <w:t xml:space="preserve">жах ЕГ існувала стримана згода </w:t>
      </w:r>
      <w:r w:rsidRPr="00D46424">
        <w:rPr>
          <w:rFonts w:ascii="Arial" w:hAnsi="Arial" w:cs="Arial"/>
          <w:color w:val="000000"/>
        </w:rPr>
        <w:t>що</w:t>
      </w:r>
      <w:r w:rsidR="00584D97">
        <w:rPr>
          <w:rFonts w:ascii="Arial" w:hAnsi="Arial" w:cs="Arial"/>
          <w:color w:val="000000"/>
        </w:rPr>
        <w:t>до</w:t>
      </w:r>
      <w:r w:rsidRPr="00D46424">
        <w:rPr>
          <w:rFonts w:ascii="Arial" w:hAnsi="Arial" w:cs="Arial"/>
          <w:color w:val="000000"/>
        </w:rPr>
        <w:t xml:space="preserve"> </w:t>
      </w:r>
      <w:r w:rsidR="00584D97">
        <w:rPr>
          <w:rFonts w:ascii="Arial" w:hAnsi="Arial" w:cs="Arial"/>
          <w:color w:val="000000"/>
        </w:rPr>
        <w:t xml:space="preserve">того, що </w:t>
      </w:r>
      <w:r w:rsidRPr="00D46424">
        <w:rPr>
          <w:rFonts w:ascii="Arial" w:hAnsi="Arial" w:cs="Arial"/>
          <w:color w:val="000000"/>
        </w:rPr>
        <w:t xml:space="preserve">якість </w:t>
      </w:r>
      <w:r w:rsidR="00584D97">
        <w:rPr>
          <w:rFonts w:ascii="Arial" w:hAnsi="Arial" w:cs="Arial"/>
          <w:color w:val="000000"/>
          <w:lang w:val="uk-UA"/>
        </w:rPr>
        <w:t>доказів</w:t>
      </w:r>
      <w:r w:rsidRPr="00D46424">
        <w:rPr>
          <w:rFonts w:ascii="Arial" w:hAnsi="Arial" w:cs="Arial"/>
          <w:color w:val="000000"/>
        </w:rPr>
        <w:t xml:space="preserve"> стосовно можливих переваг була "низькою" та максимальне співпадіння думок про те, що якість доказів можливої шкоди була "дуже низькою" через неточність, опосередкованість та ризик помилки. Проте ЕГ не змогла досягти консенсусу щодо загального балансу </w:t>
      </w:r>
      <w:r w:rsidR="00FF513A">
        <w:rPr>
          <w:rFonts w:ascii="Arial" w:hAnsi="Arial" w:cs="Arial"/>
          <w:color w:val="000000"/>
        </w:rPr>
        <w:t>шкоди та переваг та провела</w:t>
      </w:r>
      <w:r w:rsidRPr="00D46424">
        <w:rPr>
          <w:rFonts w:ascii="Arial" w:hAnsi="Arial" w:cs="Arial"/>
          <w:color w:val="000000"/>
        </w:rPr>
        <w:t xml:space="preserve"> голосування (за винятком спостерігачів та консультантів з технічних ресурсів). Результати були такими: 10 голосів - вигоди превалюють над шкодою; 4 голоси - шкода превалює над перевагами; та  2 - утри</w:t>
      </w:r>
      <w:r w:rsidR="00D46424">
        <w:rPr>
          <w:rFonts w:ascii="Arial" w:hAnsi="Arial" w:cs="Arial"/>
          <w:color w:val="000000"/>
        </w:rPr>
        <w:t xml:space="preserve">малися (включаючи Голову </w:t>
      </w:r>
      <w:r w:rsidR="00D46424">
        <w:rPr>
          <w:rFonts w:ascii="Arial" w:hAnsi="Arial" w:cs="Arial"/>
          <w:color w:val="000000"/>
          <w:lang w:val="uk-UA"/>
        </w:rPr>
        <w:t>Групи</w:t>
      </w:r>
      <w:r w:rsidRPr="00D46424">
        <w:rPr>
          <w:rFonts w:ascii="Arial" w:hAnsi="Arial" w:cs="Arial"/>
          <w:color w:val="000000"/>
        </w:rPr>
        <w:t>).</w:t>
      </w:r>
    </w:p>
    <w:p w14:paraId="5D6897C6" w14:textId="77777777" w:rsidR="00E568A1" w:rsidRPr="00AB6D76" w:rsidRDefault="00E568A1" w:rsidP="0037724F">
      <w:pPr>
        <w:autoSpaceDE w:val="0"/>
        <w:autoSpaceDN w:val="0"/>
        <w:adjustRightInd w:val="0"/>
        <w:spacing w:after="0" w:line="240" w:lineRule="auto"/>
        <w:jc w:val="both"/>
        <w:rPr>
          <w:rFonts w:ascii="Arial" w:hAnsi="Arial" w:cs="Arial"/>
          <w:color w:val="000000"/>
          <w:sz w:val="24"/>
          <w:szCs w:val="24"/>
        </w:rPr>
      </w:pPr>
    </w:p>
    <w:p w14:paraId="02D161C6" w14:textId="77777777" w:rsidR="00E568A1" w:rsidRPr="00307864"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307864">
        <w:rPr>
          <w:rFonts w:ascii="Arial" w:hAnsi="Arial" w:cs="Arial"/>
          <w:b/>
          <w:bCs/>
          <w:color w:val="6A2041"/>
          <w:sz w:val="28"/>
          <w:szCs w:val="28"/>
          <w:lang w:val="uk-UA"/>
        </w:rPr>
        <w:t>Рекомендації Експертної Групи</w:t>
      </w:r>
    </w:p>
    <w:p w14:paraId="35A0A267" w14:textId="77777777" w:rsidR="00E568A1" w:rsidRPr="00713994" w:rsidRDefault="00E568A1" w:rsidP="0037724F">
      <w:pPr>
        <w:autoSpaceDE w:val="0"/>
        <w:autoSpaceDN w:val="0"/>
        <w:adjustRightInd w:val="0"/>
        <w:spacing w:after="0" w:line="240" w:lineRule="auto"/>
        <w:jc w:val="both"/>
        <w:rPr>
          <w:rFonts w:ascii="Arial" w:hAnsi="Arial" w:cs="Arial"/>
          <w:color w:val="000000"/>
          <w:sz w:val="24"/>
          <w:szCs w:val="24"/>
        </w:rPr>
      </w:pPr>
    </w:p>
    <w:p w14:paraId="6E83091B" w14:textId="0DF79E8D" w:rsidR="00E568A1" w:rsidRPr="00713994" w:rsidRDefault="00D46424" w:rsidP="0037724F">
      <w:pPr>
        <w:autoSpaceDE w:val="0"/>
        <w:autoSpaceDN w:val="0"/>
        <w:adjustRightInd w:val="0"/>
        <w:spacing w:after="0" w:line="240" w:lineRule="auto"/>
        <w:jc w:val="both"/>
        <w:rPr>
          <w:rFonts w:ascii="Arial" w:hAnsi="Arial" w:cs="Arial"/>
          <w:color w:val="000000"/>
        </w:rPr>
      </w:pPr>
      <w:r>
        <w:rPr>
          <w:rFonts w:ascii="Arial" w:hAnsi="Arial" w:cs="Arial"/>
          <w:color w:val="000000"/>
          <w:lang w:val="uk-UA"/>
        </w:rPr>
        <w:t xml:space="preserve">В якості тимчасової рекомендації, </w:t>
      </w:r>
      <w:r w:rsidR="00972796">
        <w:rPr>
          <w:rFonts w:ascii="Arial" w:hAnsi="Arial" w:cs="Arial"/>
          <w:color w:val="000000"/>
        </w:rPr>
        <w:t>ЕГ було рекомендовано включення бедаквіліну</w:t>
      </w:r>
      <w:r w:rsidR="00E568A1" w:rsidRPr="00713994">
        <w:rPr>
          <w:rFonts w:ascii="Arial" w:hAnsi="Arial" w:cs="Arial"/>
          <w:color w:val="000000"/>
        </w:rPr>
        <w:t xml:space="preserve"> до рекомендованої ВООЗ схеми лікування дорослих хворих на </w:t>
      </w:r>
      <w:r w:rsidR="009B51D9">
        <w:rPr>
          <w:rFonts w:ascii="Arial" w:hAnsi="Arial" w:cs="Arial"/>
          <w:color w:val="000000"/>
        </w:rPr>
        <w:t>МР ТБ</w:t>
      </w:r>
      <w:r w:rsidR="00E568A1" w:rsidRPr="00713994">
        <w:rPr>
          <w:rFonts w:ascii="Arial" w:hAnsi="Arial" w:cs="Arial"/>
          <w:color w:val="000000"/>
        </w:rPr>
        <w:t xml:space="preserve"> при наступних умовах (</w:t>
      </w:r>
      <w:r w:rsidR="00E568A1" w:rsidRPr="00713994">
        <w:rPr>
          <w:rFonts w:ascii="Arial" w:hAnsi="Arial" w:cs="Arial"/>
          <w:i/>
          <w:color w:val="000000"/>
        </w:rPr>
        <w:t>умовна рекомендація, дуже ни</w:t>
      </w:r>
      <w:r w:rsidR="00972796">
        <w:rPr>
          <w:rFonts w:ascii="Arial" w:hAnsi="Arial" w:cs="Arial"/>
          <w:i/>
          <w:color w:val="000000"/>
        </w:rPr>
        <w:t>зька достовірність оцінок ефективності</w:t>
      </w:r>
      <w:r w:rsidR="00E568A1" w:rsidRPr="00713994">
        <w:rPr>
          <w:rFonts w:ascii="Arial" w:hAnsi="Arial" w:cs="Arial"/>
          <w:i/>
          <w:color w:val="000000"/>
        </w:rPr>
        <w:t>, тобто дуже низька якість доказів</w:t>
      </w:r>
      <w:r w:rsidR="00E568A1" w:rsidRPr="00713994">
        <w:rPr>
          <w:rFonts w:ascii="Arial" w:hAnsi="Arial" w:cs="Arial"/>
          <w:color w:val="000000"/>
        </w:rPr>
        <w:t>):</w:t>
      </w:r>
    </w:p>
    <w:p w14:paraId="340150CA" w14:textId="77777777" w:rsidR="00E568A1" w:rsidRPr="00713994" w:rsidRDefault="00E568A1" w:rsidP="0037724F">
      <w:pPr>
        <w:autoSpaceDE w:val="0"/>
        <w:autoSpaceDN w:val="0"/>
        <w:adjustRightInd w:val="0"/>
        <w:spacing w:after="0" w:line="240" w:lineRule="auto"/>
        <w:jc w:val="both"/>
        <w:rPr>
          <w:rFonts w:ascii="Arial" w:hAnsi="Arial" w:cs="Arial"/>
          <w:color w:val="000000"/>
          <w:sz w:val="12"/>
          <w:szCs w:val="12"/>
        </w:rPr>
      </w:pPr>
    </w:p>
    <w:p w14:paraId="31851227" w14:textId="2169C599" w:rsidR="00E568A1" w:rsidRPr="002F0B4C" w:rsidRDefault="00E568A1" w:rsidP="0037724F">
      <w:pPr>
        <w:autoSpaceDE w:val="0"/>
        <w:autoSpaceDN w:val="0"/>
        <w:adjustRightInd w:val="0"/>
        <w:spacing w:after="0" w:line="240" w:lineRule="auto"/>
        <w:jc w:val="both"/>
        <w:rPr>
          <w:rFonts w:ascii="Arial" w:hAnsi="Arial" w:cs="Arial"/>
          <w:color w:val="000000"/>
        </w:rPr>
      </w:pPr>
      <w:r w:rsidRPr="00172CBC">
        <w:rPr>
          <w:rFonts w:ascii="Arial" w:hAnsi="Arial" w:cs="Arial"/>
          <w:color w:val="000000"/>
        </w:rPr>
        <w:t xml:space="preserve">• </w:t>
      </w:r>
      <w:r w:rsidRPr="002F0B4C">
        <w:rPr>
          <w:rFonts w:ascii="Arial" w:hAnsi="Arial" w:cs="Arial"/>
          <w:color w:val="000000"/>
        </w:rPr>
        <w:t>коли</w:t>
      </w:r>
      <w:r w:rsidRPr="00172CBC">
        <w:rPr>
          <w:rFonts w:ascii="Arial" w:hAnsi="Arial" w:cs="Arial"/>
          <w:color w:val="000000"/>
        </w:rPr>
        <w:t xml:space="preserve"> </w:t>
      </w:r>
      <w:r w:rsidRPr="002F0B4C">
        <w:rPr>
          <w:rFonts w:ascii="Arial" w:hAnsi="Arial" w:cs="Arial"/>
          <w:color w:val="000000"/>
        </w:rPr>
        <w:t>неможливо</w:t>
      </w:r>
      <w:r w:rsidRPr="00172CBC">
        <w:rPr>
          <w:rFonts w:ascii="Arial" w:hAnsi="Arial" w:cs="Arial"/>
          <w:color w:val="000000"/>
        </w:rPr>
        <w:t xml:space="preserve"> </w:t>
      </w:r>
      <w:r w:rsidRPr="002F0B4C">
        <w:rPr>
          <w:rFonts w:ascii="Arial" w:hAnsi="Arial" w:cs="Arial"/>
          <w:color w:val="000000"/>
        </w:rPr>
        <w:t>розробити</w:t>
      </w:r>
      <w:r w:rsidRPr="00172CBC">
        <w:rPr>
          <w:rFonts w:ascii="Arial" w:hAnsi="Arial" w:cs="Arial"/>
          <w:color w:val="000000"/>
        </w:rPr>
        <w:t xml:space="preserve"> </w:t>
      </w:r>
      <w:r w:rsidRPr="002F0B4C">
        <w:rPr>
          <w:rFonts w:ascii="Arial" w:hAnsi="Arial" w:cs="Arial"/>
          <w:color w:val="000000"/>
        </w:rPr>
        <w:t>ефективний</w:t>
      </w:r>
      <w:r w:rsidRPr="00172CBC">
        <w:rPr>
          <w:rFonts w:ascii="Arial" w:hAnsi="Arial" w:cs="Arial"/>
          <w:color w:val="000000"/>
        </w:rPr>
        <w:t xml:space="preserve"> </w:t>
      </w:r>
      <w:r w:rsidRPr="002F0B4C">
        <w:rPr>
          <w:rFonts w:ascii="Arial" w:hAnsi="Arial" w:cs="Arial"/>
          <w:color w:val="000000"/>
        </w:rPr>
        <w:t>режим</w:t>
      </w:r>
      <w:r w:rsidRPr="00172CBC">
        <w:rPr>
          <w:rFonts w:ascii="Arial" w:hAnsi="Arial" w:cs="Arial"/>
          <w:color w:val="000000"/>
        </w:rPr>
        <w:t xml:space="preserve"> </w:t>
      </w:r>
      <w:r w:rsidRPr="002F0B4C">
        <w:rPr>
          <w:rFonts w:ascii="Arial" w:hAnsi="Arial" w:cs="Arial"/>
          <w:color w:val="000000"/>
        </w:rPr>
        <w:t>лікування</w:t>
      </w:r>
      <w:r w:rsidRPr="00172CBC">
        <w:rPr>
          <w:rFonts w:ascii="Arial" w:hAnsi="Arial" w:cs="Arial"/>
          <w:color w:val="000000"/>
        </w:rPr>
        <w:t xml:space="preserve">, </w:t>
      </w:r>
      <w:r w:rsidRPr="002F0B4C">
        <w:rPr>
          <w:rFonts w:ascii="Arial" w:hAnsi="Arial" w:cs="Arial"/>
          <w:color w:val="000000"/>
        </w:rPr>
        <w:t>який</w:t>
      </w:r>
      <w:r w:rsidRPr="00172CBC">
        <w:rPr>
          <w:rFonts w:ascii="Arial" w:hAnsi="Arial" w:cs="Arial"/>
          <w:color w:val="000000"/>
        </w:rPr>
        <w:t xml:space="preserve"> </w:t>
      </w:r>
      <w:r w:rsidRPr="002F0B4C">
        <w:rPr>
          <w:rFonts w:ascii="Arial" w:hAnsi="Arial" w:cs="Arial"/>
          <w:color w:val="000000"/>
        </w:rPr>
        <w:t>включає</w:t>
      </w:r>
      <w:r w:rsidRPr="00172CBC">
        <w:rPr>
          <w:rFonts w:ascii="Arial" w:hAnsi="Arial" w:cs="Arial"/>
          <w:color w:val="000000"/>
        </w:rPr>
        <w:t xml:space="preserve"> </w:t>
      </w:r>
      <w:r w:rsidRPr="002F0B4C">
        <w:rPr>
          <w:rFonts w:ascii="Arial" w:hAnsi="Arial" w:cs="Arial"/>
          <w:color w:val="000000"/>
        </w:rPr>
        <w:t>чотири</w:t>
      </w:r>
      <w:r w:rsidRPr="00172CBC">
        <w:rPr>
          <w:rFonts w:ascii="Arial" w:hAnsi="Arial" w:cs="Arial"/>
          <w:color w:val="000000"/>
        </w:rPr>
        <w:t xml:space="preserve"> </w:t>
      </w:r>
      <w:r w:rsidRPr="002F0B4C">
        <w:rPr>
          <w:rFonts w:ascii="Arial" w:hAnsi="Arial" w:cs="Arial"/>
          <w:color w:val="000000"/>
        </w:rPr>
        <w:t>препарати</w:t>
      </w:r>
      <w:r w:rsidRPr="00172CBC">
        <w:rPr>
          <w:rFonts w:ascii="Arial" w:hAnsi="Arial" w:cs="Arial"/>
          <w:color w:val="000000"/>
        </w:rPr>
        <w:t xml:space="preserve"> </w:t>
      </w:r>
      <w:r w:rsidR="00972796">
        <w:rPr>
          <w:rFonts w:ascii="Arial" w:hAnsi="Arial" w:cs="Arial"/>
          <w:color w:val="000000"/>
        </w:rPr>
        <w:t>другого ряду</w:t>
      </w:r>
      <w:r w:rsidRPr="00172CBC">
        <w:rPr>
          <w:rFonts w:ascii="Arial" w:hAnsi="Arial" w:cs="Arial"/>
          <w:color w:val="000000"/>
        </w:rPr>
        <w:t xml:space="preserve">, </w:t>
      </w:r>
      <w:r w:rsidRPr="002F0B4C">
        <w:rPr>
          <w:rFonts w:ascii="Arial" w:hAnsi="Arial" w:cs="Arial"/>
          <w:color w:val="000000"/>
        </w:rPr>
        <w:t>крім</w:t>
      </w:r>
      <w:r w:rsidRPr="00172CBC">
        <w:rPr>
          <w:rFonts w:ascii="Arial" w:hAnsi="Arial" w:cs="Arial"/>
          <w:color w:val="000000"/>
        </w:rPr>
        <w:t xml:space="preserve"> </w:t>
      </w:r>
      <w:r w:rsidRPr="002F0B4C">
        <w:rPr>
          <w:rFonts w:ascii="Arial" w:hAnsi="Arial" w:cs="Arial"/>
          <w:color w:val="000000"/>
        </w:rPr>
        <w:t>піразинаміду</w:t>
      </w:r>
      <w:r w:rsidRPr="00172CBC">
        <w:rPr>
          <w:rFonts w:ascii="Arial" w:hAnsi="Arial" w:cs="Arial"/>
          <w:color w:val="000000"/>
        </w:rPr>
        <w:t xml:space="preserve"> </w:t>
      </w:r>
      <w:r w:rsidRPr="002F0B4C">
        <w:rPr>
          <w:rFonts w:ascii="Arial" w:hAnsi="Arial" w:cs="Arial"/>
          <w:color w:val="000000"/>
        </w:rPr>
        <w:t>згідно</w:t>
      </w:r>
      <w:r w:rsidRPr="00172CBC">
        <w:rPr>
          <w:rFonts w:ascii="Arial" w:hAnsi="Arial" w:cs="Arial"/>
          <w:color w:val="000000"/>
        </w:rPr>
        <w:t xml:space="preserve"> </w:t>
      </w:r>
      <w:r w:rsidRPr="002F0B4C">
        <w:rPr>
          <w:rFonts w:ascii="Arial" w:hAnsi="Arial" w:cs="Arial"/>
          <w:color w:val="000000"/>
        </w:rPr>
        <w:t>з</w:t>
      </w:r>
      <w:r w:rsidRPr="00172CBC">
        <w:rPr>
          <w:rFonts w:ascii="Arial" w:hAnsi="Arial" w:cs="Arial"/>
          <w:color w:val="000000"/>
        </w:rPr>
        <w:t xml:space="preserve"> </w:t>
      </w:r>
      <w:r w:rsidRPr="002F0B4C">
        <w:rPr>
          <w:rFonts w:ascii="Arial" w:hAnsi="Arial" w:cs="Arial"/>
          <w:color w:val="000000"/>
        </w:rPr>
        <w:t>рекомендаціями ВООЗ;</w:t>
      </w:r>
    </w:p>
    <w:p w14:paraId="5916218E" w14:textId="77777777" w:rsidR="00E568A1" w:rsidRPr="002F0B4C" w:rsidRDefault="00E568A1" w:rsidP="0037724F">
      <w:pPr>
        <w:autoSpaceDE w:val="0"/>
        <w:autoSpaceDN w:val="0"/>
        <w:adjustRightInd w:val="0"/>
        <w:spacing w:after="0" w:line="240" w:lineRule="auto"/>
        <w:jc w:val="both"/>
        <w:rPr>
          <w:rFonts w:ascii="Arial" w:hAnsi="Arial" w:cs="Arial"/>
          <w:color w:val="000000"/>
        </w:rPr>
      </w:pPr>
      <w:r w:rsidRPr="002F0B4C">
        <w:rPr>
          <w:rFonts w:ascii="Arial" w:hAnsi="Arial" w:cs="Arial"/>
          <w:color w:val="000000"/>
        </w:rPr>
        <w:t>• коли є задокументовані докази стійкості до будь-якого фторхінолону на додаток до мультирезистеності.</w:t>
      </w:r>
    </w:p>
    <w:p w14:paraId="4112380D" w14:textId="77777777" w:rsidR="00E568A1" w:rsidRPr="00A60AE1" w:rsidRDefault="00E568A1" w:rsidP="0037724F">
      <w:pPr>
        <w:autoSpaceDE w:val="0"/>
        <w:autoSpaceDN w:val="0"/>
        <w:adjustRightInd w:val="0"/>
        <w:spacing w:after="0" w:line="240" w:lineRule="auto"/>
        <w:jc w:val="both"/>
        <w:rPr>
          <w:rFonts w:ascii="Arial" w:hAnsi="Arial" w:cs="Arial"/>
          <w:color w:val="000000"/>
        </w:rPr>
      </w:pPr>
    </w:p>
    <w:p w14:paraId="72FD210A" w14:textId="77777777" w:rsidR="00E568A1" w:rsidRDefault="00E568A1" w:rsidP="0037724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Крім того, </w:t>
      </w:r>
      <w:r>
        <w:rPr>
          <w:rFonts w:ascii="Arial" w:hAnsi="Arial" w:cs="Arial"/>
          <w:color w:val="000000"/>
          <w:lang w:val="uk-UA"/>
        </w:rPr>
        <w:t>ЕГ</w:t>
      </w:r>
      <w:r>
        <w:rPr>
          <w:rFonts w:ascii="Arial" w:hAnsi="Arial" w:cs="Arial"/>
          <w:color w:val="000000"/>
        </w:rPr>
        <w:t xml:space="preserve"> рекоменду</w:t>
      </w:r>
      <w:r>
        <w:rPr>
          <w:rFonts w:ascii="Arial" w:hAnsi="Arial" w:cs="Arial"/>
          <w:color w:val="000000"/>
          <w:lang w:val="uk-UA"/>
        </w:rPr>
        <w:t>вала</w:t>
      </w:r>
      <w:r w:rsidR="00172CBC">
        <w:rPr>
          <w:rFonts w:ascii="Arial" w:hAnsi="Arial" w:cs="Arial"/>
          <w:color w:val="000000"/>
          <w:lang w:val="uk-UA"/>
        </w:rPr>
        <w:t xml:space="preserve"> наступне</w:t>
      </w:r>
      <w:r w:rsidRPr="002F0B4C">
        <w:rPr>
          <w:rFonts w:ascii="Arial" w:hAnsi="Arial" w:cs="Arial"/>
          <w:color w:val="000000"/>
        </w:rPr>
        <w:t>:</w:t>
      </w:r>
    </w:p>
    <w:p w14:paraId="62B70899" w14:textId="77777777" w:rsidR="00B844CB" w:rsidRPr="002F0B4C" w:rsidRDefault="00B844CB" w:rsidP="0037724F">
      <w:pPr>
        <w:autoSpaceDE w:val="0"/>
        <w:autoSpaceDN w:val="0"/>
        <w:adjustRightInd w:val="0"/>
        <w:spacing w:after="0" w:line="240" w:lineRule="auto"/>
        <w:jc w:val="both"/>
        <w:rPr>
          <w:rFonts w:ascii="Arial" w:hAnsi="Arial" w:cs="Arial"/>
          <w:color w:val="000000"/>
        </w:rPr>
      </w:pPr>
    </w:p>
    <w:p w14:paraId="73E9600F"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2F0B4C">
        <w:rPr>
          <w:rFonts w:ascii="Arial" w:hAnsi="Arial" w:cs="Arial"/>
          <w:color w:val="000000"/>
        </w:rPr>
        <w:t>• слід дотримуватися належним чином обґрунтованого процесу прийняття рішень пацієнтами;</w:t>
      </w:r>
    </w:p>
    <w:p w14:paraId="5B172126" w14:textId="392E0D4A" w:rsidR="00E568A1" w:rsidRDefault="00E568A1" w:rsidP="0037724F">
      <w:pPr>
        <w:autoSpaceDE w:val="0"/>
        <w:autoSpaceDN w:val="0"/>
        <w:adjustRightInd w:val="0"/>
        <w:spacing w:after="0" w:line="240" w:lineRule="auto"/>
        <w:jc w:val="both"/>
        <w:rPr>
          <w:rFonts w:ascii="Arial" w:hAnsi="Arial" w:cs="Arial"/>
          <w:color w:val="000000"/>
          <w:lang w:val="uk-UA"/>
        </w:rPr>
      </w:pPr>
      <w:r w:rsidRPr="00D308A6">
        <w:rPr>
          <w:rFonts w:ascii="Arial" w:hAnsi="Arial" w:cs="Arial"/>
          <w:color w:val="000000"/>
          <w:lang w:val="uk-UA"/>
        </w:rPr>
        <w:t xml:space="preserve">• через обмеженість або відсутність інформації, бедаквілін слід застосовувати з обережністю щодо людей, які живуть з ВІЛ, а також пацієнтів з супутніми захворюваннями/ (наприклад, цукровий діабет) або серед людей, які повідомляють про вживання алкоголю або </w:t>
      </w:r>
      <w:r w:rsidR="00172CBC">
        <w:rPr>
          <w:rFonts w:ascii="Arial" w:hAnsi="Arial" w:cs="Arial"/>
          <w:color w:val="000000"/>
          <w:lang w:val="uk-UA"/>
        </w:rPr>
        <w:t xml:space="preserve">наркотичних </w:t>
      </w:r>
      <w:r w:rsidRPr="00D308A6">
        <w:rPr>
          <w:rFonts w:ascii="Arial" w:hAnsi="Arial" w:cs="Arial"/>
          <w:color w:val="000000"/>
          <w:lang w:val="uk-UA"/>
        </w:rPr>
        <w:t>речовин;</w:t>
      </w:r>
    </w:p>
    <w:p w14:paraId="215F98D5" w14:textId="435288DC" w:rsidR="00E568A1" w:rsidRDefault="00F247F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бедаквілін треба застосовувати</w:t>
      </w:r>
      <w:r w:rsidR="00E568A1" w:rsidRPr="00D308A6">
        <w:rPr>
          <w:rFonts w:ascii="Arial" w:hAnsi="Arial" w:cs="Arial"/>
          <w:color w:val="000000"/>
          <w:lang w:val="uk-UA"/>
        </w:rPr>
        <w:t xml:space="preserve"> протягом максимум 6 місяців і при рекомендованому дозуванні (400 мг на добу протягом перших 2 ти</w:t>
      </w:r>
      <w:r w:rsidR="00172CBC">
        <w:rPr>
          <w:rFonts w:ascii="Arial" w:hAnsi="Arial" w:cs="Arial"/>
          <w:color w:val="000000"/>
          <w:lang w:val="uk-UA"/>
        </w:rPr>
        <w:t>жнів, а потім по 200 мг тричі на тиждень протягом наступних</w:t>
      </w:r>
      <w:r w:rsidR="00E568A1" w:rsidRPr="00D308A6">
        <w:rPr>
          <w:rFonts w:ascii="Arial" w:hAnsi="Arial" w:cs="Arial"/>
          <w:color w:val="000000"/>
          <w:lang w:val="uk-UA"/>
        </w:rPr>
        <w:t xml:space="preserve"> 22 тижнів);</w:t>
      </w:r>
    </w:p>
    <w:p w14:paraId="6B76D7AD"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D308A6">
        <w:rPr>
          <w:rFonts w:ascii="Arial" w:hAnsi="Arial" w:cs="Arial"/>
          <w:color w:val="000000"/>
          <w:lang w:val="uk-UA"/>
        </w:rPr>
        <w:t>• бедаквілін не слід додавати окремо у випадку невдалої схеми лікування;</w:t>
      </w:r>
    </w:p>
    <w:p w14:paraId="493CFFCF" w14:textId="08BC4E84" w:rsidR="00E568A1" w:rsidRDefault="00E568A1" w:rsidP="0037724F">
      <w:pPr>
        <w:autoSpaceDE w:val="0"/>
        <w:autoSpaceDN w:val="0"/>
        <w:adjustRightInd w:val="0"/>
        <w:spacing w:after="0" w:line="240" w:lineRule="auto"/>
        <w:jc w:val="both"/>
        <w:rPr>
          <w:rFonts w:ascii="Arial" w:hAnsi="Arial" w:cs="Arial"/>
          <w:color w:val="000000"/>
          <w:lang w:val="uk-UA"/>
        </w:rPr>
      </w:pPr>
      <w:r w:rsidRPr="00D308A6">
        <w:rPr>
          <w:rFonts w:ascii="Arial" w:hAnsi="Arial" w:cs="Arial"/>
          <w:color w:val="000000"/>
          <w:lang w:val="uk-UA"/>
        </w:rPr>
        <w:t>• необхі</w:t>
      </w:r>
      <w:r w:rsidR="00172CBC">
        <w:rPr>
          <w:rFonts w:ascii="Arial" w:hAnsi="Arial" w:cs="Arial"/>
          <w:color w:val="000000"/>
          <w:lang w:val="uk-UA"/>
        </w:rPr>
        <w:t>д</w:t>
      </w:r>
      <w:r w:rsidRPr="00D308A6">
        <w:rPr>
          <w:rFonts w:ascii="Arial" w:hAnsi="Arial" w:cs="Arial"/>
          <w:color w:val="000000"/>
          <w:lang w:val="uk-UA"/>
        </w:rPr>
        <w:t>но  обов'язково провести базове тестування та мо</w:t>
      </w:r>
      <w:r w:rsidR="00F247F1">
        <w:rPr>
          <w:rFonts w:ascii="Arial" w:hAnsi="Arial" w:cs="Arial"/>
          <w:color w:val="000000"/>
          <w:lang w:val="uk-UA"/>
        </w:rPr>
        <w:t xml:space="preserve">ніторинг показників подовження інтервалу </w:t>
      </w:r>
      <w:r w:rsidRPr="00D308A6">
        <w:rPr>
          <w:rFonts w:ascii="Arial" w:hAnsi="Arial" w:cs="Arial"/>
          <w:color w:val="000000"/>
          <w:lang w:val="uk-UA"/>
        </w:rPr>
        <w:t>QT та розвитку аритмії;</w:t>
      </w:r>
    </w:p>
    <w:p w14:paraId="442E7AB2"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7277EC">
        <w:rPr>
          <w:rFonts w:ascii="Arial" w:hAnsi="Arial" w:cs="Arial"/>
          <w:color w:val="000000"/>
          <w:lang w:val="uk-UA"/>
        </w:rPr>
        <w:t>• має бути встановлений клінічний моніторинг та супровід лікування супутніх захворювань (особливо захворювання серця та печінки);</w:t>
      </w:r>
    </w:p>
    <w:p w14:paraId="4625D7FB" w14:textId="2BFB775D" w:rsidR="00E568A1" w:rsidRDefault="00E568A1" w:rsidP="0037724F">
      <w:pPr>
        <w:autoSpaceDE w:val="0"/>
        <w:autoSpaceDN w:val="0"/>
        <w:adjustRightInd w:val="0"/>
        <w:spacing w:after="0" w:line="240" w:lineRule="auto"/>
        <w:jc w:val="both"/>
        <w:rPr>
          <w:rFonts w:ascii="Arial" w:hAnsi="Arial" w:cs="Arial"/>
          <w:color w:val="000000"/>
          <w:lang w:val="uk-UA"/>
        </w:rPr>
      </w:pPr>
      <w:r w:rsidRPr="007277EC">
        <w:rPr>
          <w:rFonts w:ascii="Arial" w:hAnsi="Arial" w:cs="Arial"/>
          <w:color w:val="000000"/>
          <w:lang w:val="uk-UA"/>
        </w:rPr>
        <w:t xml:space="preserve">• спонтанне звітування про </w:t>
      </w:r>
      <w:r w:rsidR="00F247F1">
        <w:rPr>
          <w:rFonts w:ascii="Arial" w:hAnsi="Arial" w:cs="Arial"/>
          <w:color w:val="000000"/>
          <w:lang w:val="uk-UA"/>
        </w:rPr>
        <w:t>побічні реакції (</w:t>
      </w:r>
      <w:r w:rsidR="004161C9">
        <w:rPr>
          <w:rFonts w:ascii="Arial" w:hAnsi="Arial" w:cs="Arial"/>
          <w:color w:val="000000"/>
          <w:lang w:val="uk-UA"/>
        </w:rPr>
        <w:t xml:space="preserve">далі </w:t>
      </w:r>
      <w:r w:rsidR="00F247F1">
        <w:rPr>
          <w:rFonts w:ascii="Arial" w:hAnsi="Arial" w:cs="Arial"/>
          <w:color w:val="000000"/>
          <w:lang w:val="uk-UA"/>
        </w:rPr>
        <w:t>ПР)</w:t>
      </w:r>
      <w:r w:rsidRPr="007277EC">
        <w:rPr>
          <w:rFonts w:ascii="Arial" w:hAnsi="Arial" w:cs="Arial"/>
          <w:color w:val="000000"/>
          <w:lang w:val="uk-UA"/>
        </w:rPr>
        <w:t xml:space="preserve"> на ліки посилюється на рівні країни, і встановлюється активний фармакологічний нагляд серед груп пацієнтів, які отримують препарати;</w:t>
      </w:r>
    </w:p>
    <w:p w14:paraId="34DB7F71" w14:textId="650B88DA" w:rsidR="00E568A1" w:rsidRDefault="00E568A1" w:rsidP="0037724F">
      <w:pPr>
        <w:autoSpaceDE w:val="0"/>
        <w:autoSpaceDN w:val="0"/>
        <w:adjustRightInd w:val="0"/>
        <w:spacing w:after="0" w:line="240" w:lineRule="auto"/>
        <w:jc w:val="both"/>
        <w:rPr>
          <w:rFonts w:ascii="Arial" w:hAnsi="Arial" w:cs="Arial"/>
          <w:color w:val="000000"/>
          <w:lang w:val="uk-UA"/>
        </w:rPr>
      </w:pPr>
      <w:r w:rsidRPr="009A5E19">
        <w:rPr>
          <w:rFonts w:ascii="Arial" w:hAnsi="Arial" w:cs="Arial"/>
          <w:color w:val="000000"/>
          <w:lang w:val="uk-UA"/>
        </w:rPr>
        <w:lastRenderedPageBreak/>
        <w:t>• за відсутності спеці</w:t>
      </w:r>
      <w:r w:rsidR="004161C9">
        <w:rPr>
          <w:rFonts w:ascii="Arial" w:hAnsi="Arial" w:cs="Arial"/>
          <w:color w:val="000000"/>
          <w:lang w:val="uk-UA"/>
        </w:rPr>
        <w:t xml:space="preserve">ального тесту на </w:t>
      </w:r>
      <w:r w:rsidR="00D81B66">
        <w:rPr>
          <w:rFonts w:ascii="Arial" w:hAnsi="Arial" w:cs="Arial"/>
          <w:color w:val="000000"/>
          <w:lang w:val="uk-UA"/>
        </w:rPr>
        <w:t xml:space="preserve">медикаментозну </w:t>
      </w:r>
      <w:r w:rsidR="004161C9">
        <w:rPr>
          <w:rFonts w:ascii="Arial" w:hAnsi="Arial" w:cs="Arial"/>
          <w:color w:val="000000"/>
          <w:lang w:val="uk-UA"/>
        </w:rPr>
        <w:t>чутливість</w:t>
      </w:r>
      <w:r w:rsidRPr="009A5E19">
        <w:rPr>
          <w:rFonts w:ascii="Arial" w:hAnsi="Arial" w:cs="Arial"/>
          <w:color w:val="000000"/>
          <w:lang w:val="uk-UA"/>
        </w:rPr>
        <w:t xml:space="preserve"> до препарату</w:t>
      </w:r>
      <w:r w:rsidR="004161C9">
        <w:rPr>
          <w:rFonts w:ascii="Arial" w:hAnsi="Arial" w:cs="Arial"/>
          <w:color w:val="000000"/>
          <w:lang w:val="uk-UA"/>
        </w:rPr>
        <w:t xml:space="preserve"> (далі ТМЧ)</w:t>
      </w:r>
      <w:r w:rsidRPr="009A5E19">
        <w:rPr>
          <w:rFonts w:ascii="Arial" w:hAnsi="Arial" w:cs="Arial"/>
          <w:color w:val="000000"/>
          <w:lang w:val="uk-UA"/>
        </w:rPr>
        <w:t>, резистентність до бедаквіліну повинна контролю</w:t>
      </w:r>
      <w:r>
        <w:rPr>
          <w:rFonts w:ascii="Arial" w:hAnsi="Arial" w:cs="Arial"/>
          <w:color w:val="000000"/>
          <w:lang w:val="uk-UA"/>
        </w:rPr>
        <w:t>ватися шляхом оцінки мінімальних інгібуючих концентрацій</w:t>
      </w:r>
      <w:r w:rsidR="004161C9">
        <w:rPr>
          <w:rFonts w:ascii="Arial" w:hAnsi="Arial" w:cs="Arial"/>
          <w:color w:val="000000"/>
          <w:lang w:val="uk-UA"/>
        </w:rPr>
        <w:t xml:space="preserve"> (MIК</w:t>
      </w:r>
      <w:r w:rsidRPr="009A5E19">
        <w:rPr>
          <w:rFonts w:ascii="Arial" w:hAnsi="Arial" w:cs="Arial"/>
          <w:color w:val="000000"/>
          <w:lang w:val="uk-UA"/>
        </w:rPr>
        <w:t>);</w:t>
      </w:r>
    </w:p>
    <w:p w14:paraId="63B4E1EC"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9A5E19">
        <w:rPr>
          <w:rFonts w:ascii="Arial" w:hAnsi="Arial" w:cs="Arial"/>
          <w:color w:val="000000"/>
          <w:lang w:val="uk-UA"/>
        </w:rPr>
        <w:t>• необхідно відслідковувати, відповідно до рекомендацій ВООЗ, резистентність до інших протитуберкульозних препаратів .</w:t>
      </w:r>
    </w:p>
    <w:p w14:paraId="2D4C0CB4" w14:textId="77777777" w:rsidR="00E568A1" w:rsidRPr="009A5E19" w:rsidRDefault="00E568A1" w:rsidP="0037724F">
      <w:pPr>
        <w:autoSpaceDE w:val="0"/>
        <w:autoSpaceDN w:val="0"/>
        <w:adjustRightInd w:val="0"/>
        <w:spacing w:after="0" w:line="240" w:lineRule="auto"/>
        <w:jc w:val="both"/>
        <w:rPr>
          <w:rFonts w:ascii="Arial" w:hAnsi="Arial" w:cs="Arial"/>
          <w:color w:val="000000"/>
          <w:lang w:val="uk-UA"/>
        </w:rPr>
      </w:pPr>
    </w:p>
    <w:p w14:paraId="5990136E" w14:textId="69AF4345" w:rsidR="00E568A1" w:rsidRDefault="00E568A1" w:rsidP="0037724F">
      <w:pPr>
        <w:autoSpaceDE w:val="0"/>
        <w:autoSpaceDN w:val="0"/>
        <w:adjustRightInd w:val="0"/>
        <w:spacing w:after="0" w:line="240" w:lineRule="auto"/>
        <w:jc w:val="both"/>
        <w:rPr>
          <w:rFonts w:ascii="Arial" w:hAnsi="Arial" w:cs="Arial"/>
          <w:color w:val="000000"/>
          <w:lang w:val="uk-UA"/>
        </w:rPr>
      </w:pPr>
      <w:r w:rsidRPr="009A5E19">
        <w:rPr>
          <w:rFonts w:ascii="Arial" w:hAnsi="Arial" w:cs="Arial"/>
          <w:color w:val="000000"/>
          <w:lang w:val="uk-UA"/>
        </w:rPr>
        <w:t xml:space="preserve">ЕГ також рекомендувала переглянути зазначені тимчасові рекомендації у 2015 році або раніше, якщо з'являться додаткові важливі дані, що </w:t>
      </w:r>
      <w:r w:rsidR="00A00DAC">
        <w:rPr>
          <w:rFonts w:ascii="Arial" w:hAnsi="Arial" w:cs="Arial"/>
          <w:color w:val="000000"/>
          <w:lang w:val="uk-UA"/>
        </w:rPr>
        <w:t>розширюють</w:t>
      </w:r>
      <w:r w:rsidRPr="009A5E19">
        <w:rPr>
          <w:rFonts w:ascii="Arial" w:hAnsi="Arial" w:cs="Arial"/>
          <w:color w:val="000000"/>
          <w:lang w:val="uk-UA"/>
        </w:rPr>
        <w:t xml:space="preserve"> знання щ</w:t>
      </w:r>
      <w:r w:rsidR="004161C9">
        <w:rPr>
          <w:rFonts w:ascii="Arial" w:hAnsi="Arial" w:cs="Arial"/>
          <w:color w:val="000000"/>
          <w:lang w:val="uk-UA"/>
        </w:rPr>
        <w:t>одо безпеки, токсичності та/</w:t>
      </w:r>
      <w:r w:rsidRPr="009A5E19">
        <w:rPr>
          <w:rFonts w:ascii="Arial" w:hAnsi="Arial" w:cs="Arial"/>
          <w:color w:val="000000"/>
          <w:lang w:val="uk-UA"/>
        </w:rPr>
        <w:t xml:space="preserve">або ефективності бедаквіліну. </w:t>
      </w:r>
      <w:r w:rsidRPr="009A5E19">
        <w:rPr>
          <w:rFonts w:ascii="Arial" w:hAnsi="Arial" w:cs="Arial"/>
          <w:color w:val="000000"/>
        </w:rPr>
        <w:t>Крім того, ЕГ визначила ряд тем для дослідження, на які потрібн</w:t>
      </w:r>
      <w:r w:rsidR="004161C9">
        <w:rPr>
          <w:rFonts w:ascii="Arial" w:hAnsi="Arial" w:cs="Arial"/>
          <w:color w:val="000000"/>
        </w:rPr>
        <w:t>о звернути увагу, та які доповнять майбутні рекомендації щодо застосування</w:t>
      </w:r>
      <w:r w:rsidRPr="009A5E19">
        <w:rPr>
          <w:rFonts w:ascii="Arial" w:hAnsi="Arial" w:cs="Arial"/>
          <w:color w:val="000000"/>
        </w:rPr>
        <w:t xml:space="preserve"> бедаквіліну.</w:t>
      </w:r>
    </w:p>
    <w:p w14:paraId="07464C17" w14:textId="77777777" w:rsidR="00E568A1" w:rsidRPr="009A5E19" w:rsidRDefault="00E568A1" w:rsidP="0037724F">
      <w:pPr>
        <w:autoSpaceDE w:val="0"/>
        <w:autoSpaceDN w:val="0"/>
        <w:adjustRightInd w:val="0"/>
        <w:spacing w:after="0" w:line="240" w:lineRule="auto"/>
        <w:jc w:val="both"/>
        <w:rPr>
          <w:rFonts w:ascii="Arial" w:hAnsi="Arial" w:cs="Arial"/>
          <w:color w:val="000000"/>
          <w:szCs w:val="28"/>
          <w:lang w:val="uk-UA"/>
        </w:rPr>
      </w:pPr>
    </w:p>
    <w:p w14:paraId="2EE1BBC3" w14:textId="77777777" w:rsidR="00E568A1" w:rsidRPr="00307864"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307864">
        <w:rPr>
          <w:rFonts w:ascii="Arial" w:hAnsi="Arial" w:cs="Arial"/>
          <w:b/>
          <w:bCs/>
          <w:color w:val="6A2041"/>
          <w:sz w:val="28"/>
          <w:szCs w:val="28"/>
          <w:lang w:val="uk-UA"/>
        </w:rPr>
        <w:t>Тимчасові методичні рекомендаціїї ВООЗ</w:t>
      </w:r>
    </w:p>
    <w:p w14:paraId="24ED0487" w14:textId="77777777" w:rsidR="00E568A1" w:rsidRPr="004559FF"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33D37CF8" w14:textId="32A31219" w:rsidR="00E568A1" w:rsidRPr="00AA0376" w:rsidRDefault="00E568A1" w:rsidP="0037724F">
      <w:pPr>
        <w:autoSpaceDE w:val="0"/>
        <w:autoSpaceDN w:val="0"/>
        <w:adjustRightInd w:val="0"/>
        <w:spacing w:after="0" w:line="240" w:lineRule="auto"/>
        <w:jc w:val="both"/>
        <w:rPr>
          <w:rFonts w:ascii="Arial" w:hAnsi="Arial" w:cs="Arial"/>
          <w:color w:val="000000"/>
          <w:lang w:val="uk-UA"/>
        </w:rPr>
      </w:pPr>
      <w:r w:rsidRPr="003C1249">
        <w:rPr>
          <w:rFonts w:ascii="Arial" w:hAnsi="Arial" w:cs="Arial"/>
          <w:color w:val="000000"/>
          <w:lang w:val="uk-UA"/>
        </w:rPr>
        <w:t>Беручи до уваги вищезазначену оцінку</w:t>
      </w:r>
      <w:r w:rsidR="003205C9">
        <w:rPr>
          <w:rFonts w:ascii="Arial" w:hAnsi="Arial" w:cs="Arial"/>
          <w:color w:val="000000"/>
          <w:lang w:val="uk-UA"/>
        </w:rPr>
        <w:t xml:space="preserve"> доказів та застереження</w:t>
      </w:r>
      <w:r w:rsidR="00BB4A57">
        <w:rPr>
          <w:rFonts w:ascii="Arial" w:hAnsi="Arial" w:cs="Arial"/>
          <w:color w:val="000000"/>
          <w:lang w:val="uk-UA"/>
        </w:rPr>
        <w:t xml:space="preserve"> ЕГ, ВООЗ рекомендує</w:t>
      </w:r>
      <w:r w:rsidRPr="003C1249">
        <w:rPr>
          <w:rFonts w:ascii="Arial" w:hAnsi="Arial" w:cs="Arial"/>
          <w:color w:val="000000"/>
          <w:lang w:val="uk-UA"/>
        </w:rPr>
        <w:t xml:space="preserve"> </w:t>
      </w:r>
      <w:r w:rsidR="00BB4A57">
        <w:rPr>
          <w:rFonts w:ascii="Arial" w:hAnsi="Arial" w:cs="Arial"/>
          <w:color w:val="000000"/>
          <w:lang w:val="uk-UA"/>
        </w:rPr>
        <w:t xml:space="preserve">додавання </w:t>
      </w:r>
      <w:r w:rsidR="00D36754">
        <w:rPr>
          <w:rFonts w:ascii="Arial" w:hAnsi="Arial" w:cs="Arial"/>
          <w:b/>
          <w:color w:val="000000"/>
          <w:lang w:val="uk-UA"/>
        </w:rPr>
        <w:t>бедаквілін</w:t>
      </w:r>
      <w:r w:rsidR="00BB4A57">
        <w:rPr>
          <w:rFonts w:ascii="Arial" w:hAnsi="Arial" w:cs="Arial"/>
          <w:b/>
          <w:color w:val="000000"/>
          <w:lang w:val="uk-UA"/>
        </w:rPr>
        <w:t>а</w:t>
      </w:r>
      <w:r w:rsidR="00D36754">
        <w:rPr>
          <w:rFonts w:ascii="Arial" w:hAnsi="Arial" w:cs="Arial"/>
          <w:b/>
          <w:color w:val="000000"/>
          <w:lang w:val="uk-UA"/>
        </w:rPr>
        <w:t xml:space="preserve"> </w:t>
      </w:r>
      <w:r w:rsidRPr="003C1249">
        <w:rPr>
          <w:rFonts w:ascii="Arial" w:hAnsi="Arial" w:cs="Arial"/>
          <w:b/>
          <w:color w:val="000000"/>
          <w:lang w:val="uk-UA"/>
        </w:rPr>
        <w:t xml:space="preserve">до рекомендованої ВООЗ схеми лікування дорослих пацієнтів з легеневим </w:t>
      </w:r>
      <w:r w:rsidR="009B51D9">
        <w:rPr>
          <w:rFonts w:ascii="Arial" w:hAnsi="Arial" w:cs="Arial"/>
          <w:b/>
          <w:color w:val="000000"/>
          <w:lang w:val="uk-UA"/>
        </w:rPr>
        <w:t>МР ТБ</w:t>
      </w:r>
      <w:r w:rsidRPr="003C1249">
        <w:rPr>
          <w:rFonts w:ascii="Arial" w:hAnsi="Arial" w:cs="Arial"/>
          <w:b/>
          <w:color w:val="000000"/>
          <w:lang w:val="uk-UA"/>
        </w:rPr>
        <w:t xml:space="preserve"> (</w:t>
      </w:r>
      <w:r w:rsidRPr="003C1249">
        <w:rPr>
          <w:rFonts w:ascii="Arial" w:hAnsi="Arial" w:cs="Arial"/>
          <w:b/>
          <w:i/>
          <w:color w:val="000000"/>
          <w:lang w:val="uk-UA"/>
        </w:rPr>
        <w:t>умовна рекомендація, дуже низька достовірність оцінок ефектів</w:t>
      </w:r>
      <w:r w:rsidRPr="003C1249">
        <w:rPr>
          <w:rFonts w:ascii="Arial" w:hAnsi="Arial" w:cs="Arial"/>
          <w:color w:val="000000"/>
          <w:lang w:val="uk-UA"/>
        </w:rPr>
        <w:t>).</w:t>
      </w:r>
      <w:r>
        <w:rPr>
          <w:rFonts w:ascii="Arial" w:hAnsi="Arial" w:cs="Arial"/>
          <w:color w:val="000000"/>
          <w:lang w:val="uk-UA"/>
        </w:rPr>
        <w:t xml:space="preserve"> </w:t>
      </w:r>
      <w:r w:rsidRPr="003C1249">
        <w:rPr>
          <w:rFonts w:ascii="Arial" w:hAnsi="Arial" w:cs="Arial"/>
          <w:color w:val="000000"/>
          <w:lang w:val="uk-UA"/>
        </w:rPr>
        <w:t xml:space="preserve">Враховуючи обмежені дані про бедаквілін та його </w:t>
      </w:r>
      <w:r w:rsidR="007D3500">
        <w:rPr>
          <w:rFonts w:ascii="Arial" w:hAnsi="Arial" w:cs="Arial"/>
          <w:color w:val="000000"/>
          <w:lang w:val="uk-UA"/>
        </w:rPr>
        <w:t>застосування</w:t>
      </w:r>
      <w:r w:rsidRPr="003C1249">
        <w:rPr>
          <w:rFonts w:ascii="Arial" w:hAnsi="Arial" w:cs="Arial"/>
          <w:color w:val="000000"/>
          <w:lang w:val="uk-UA"/>
        </w:rPr>
        <w:t xml:space="preserve"> в різних ситуаціях, які можуть виникнути в різних клінічних умовах</w:t>
      </w:r>
      <w:r w:rsidR="00125007">
        <w:rPr>
          <w:rFonts w:ascii="Arial" w:hAnsi="Arial" w:cs="Arial"/>
          <w:color w:val="000000"/>
          <w:lang w:val="uk-UA"/>
        </w:rPr>
        <w:t xml:space="preserve"> на різних сайтах</w:t>
      </w:r>
      <w:r w:rsidRPr="003C1249">
        <w:rPr>
          <w:rFonts w:ascii="Arial" w:hAnsi="Arial" w:cs="Arial"/>
          <w:color w:val="000000"/>
          <w:lang w:val="uk-UA"/>
        </w:rPr>
        <w:t xml:space="preserve">, необхідно </w:t>
      </w:r>
      <w:r w:rsidR="005F413E">
        <w:rPr>
          <w:rFonts w:ascii="Arial" w:hAnsi="Arial" w:cs="Arial"/>
          <w:color w:val="000000"/>
          <w:lang w:val="uk-UA"/>
        </w:rPr>
        <w:t>передбачити відповідні умови</w:t>
      </w:r>
      <w:r w:rsidRPr="003C1249">
        <w:rPr>
          <w:rFonts w:ascii="Arial" w:hAnsi="Arial" w:cs="Arial"/>
          <w:color w:val="000000"/>
          <w:lang w:val="uk-UA"/>
        </w:rPr>
        <w:t xml:space="preserve"> щодо безпечного та ефективного </w:t>
      </w:r>
      <w:r w:rsidR="007D3500">
        <w:rPr>
          <w:rFonts w:ascii="Arial" w:hAnsi="Arial" w:cs="Arial"/>
          <w:color w:val="000000"/>
          <w:lang w:val="uk-UA"/>
        </w:rPr>
        <w:t>застосування</w:t>
      </w:r>
      <w:r w:rsidRPr="003C1249">
        <w:rPr>
          <w:rFonts w:ascii="Arial" w:hAnsi="Arial" w:cs="Arial"/>
          <w:color w:val="000000"/>
          <w:lang w:val="uk-UA"/>
        </w:rPr>
        <w:t xml:space="preserve"> препарату.</w:t>
      </w:r>
      <w:r>
        <w:rPr>
          <w:rFonts w:ascii="Arial" w:hAnsi="Arial" w:cs="Arial"/>
          <w:color w:val="000000"/>
          <w:lang w:val="uk-UA"/>
        </w:rPr>
        <w:t xml:space="preserve"> </w:t>
      </w:r>
      <w:r w:rsidRPr="00AA0376">
        <w:rPr>
          <w:rFonts w:ascii="Arial" w:hAnsi="Arial" w:cs="Arial"/>
          <w:color w:val="000000"/>
          <w:lang w:val="uk-UA"/>
        </w:rPr>
        <w:t>Отже, країнам рекомендується застосовувати поетапний підхід для впровадження бед</w:t>
      </w:r>
      <w:r w:rsidR="005F413E">
        <w:rPr>
          <w:rFonts w:ascii="Arial" w:hAnsi="Arial" w:cs="Arial"/>
          <w:color w:val="000000"/>
          <w:lang w:val="uk-UA"/>
        </w:rPr>
        <w:t xml:space="preserve">аквіліну, в ідеалі через спостережні </w:t>
      </w:r>
      <w:r w:rsidRPr="00AA0376">
        <w:rPr>
          <w:rFonts w:ascii="Arial" w:hAnsi="Arial" w:cs="Arial"/>
          <w:color w:val="000000"/>
          <w:lang w:val="uk-UA"/>
        </w:rPr>
        <w:t>когорт</w:t>
      </w:r>
      <w:r w:rsidR="005F413E">
        <w:rPr>
          <w:rFonts w:ascii="Arial" w:hAnsi="Arial" w:cs="Arial"/>
          <w:color w:val="000000"/>
          <w:lang w:val="uk-UA"/>
        </w:rPr>
        <w:t>ні дослідження, де можливе забезпечення відповідних умов</w:t>
      </w:r>
      <w:r w:rsidRPr="00AA0376">
        <w:rPr>
          <w:rFonts w:ascii="Arial" w:hAnsi="Arial" w:cs="Arial"/>
          <w:color w:val="000000"/>
          <w:lang w:val="uk-UA"/>
        </w:rPr>
        <w:t xml:space="preserve">. Рекомендація ВООЗ щодо включення бедаквіліну до схеми лікування дорослих з </w:t>
      </w:r>
      <w:r w:rsidR="009B51D9">
        <w:rPr>
          <w:rFonts w:ascii="Arial" w:hAnsi="Arial" w:cs="Arial"/>
          <w:color w:val="000000"/>
          <w:lang w:val="uk-UA"/>
        </w:rPr>
        <w:t>МР ТБ</w:t>
      </w:r>
      <w:r w:rsidRPr="00AA0376">
        <w:rPr>
          <w:rFonts w:ascii="Arial" w:hAnsi="Arial" w:cs="Arial"/>
          <w:color w:val="000000"/>
          <w:lang w:val="uk-UA"/>
        </w:rPr>
        <w:t xml:space="preserve"> підлягає виконанню наступних п'яти умов:</w:t>
      </w:r>
    </w:p>
    <w:p w14:paraId="536E0C56" w14:textId="77777777" w:rsidR="00E568A1" w:rsidRDefault="00E568A1" w:rsidP="0037724F">
      <w:pPr>
        <w:autoSpaceDE w:val="0"/>
        <w:autoSpaceDN w:val="0"/>
        <w:adjustRightInd w:val="0"/>
        <w:spacing w:after="0" w:line="240" w:lineRule="auto"/>
        <w:jc w:val="both"/>
        <w:rPr>
          <w:rFonts w:ascii="Arial" w:hAnsi="Arial" w:cs="Arial"/>
          <w:b/>
          <w:bCs/>
          <w:color w:val="000000"/>
          <w:lang w:val="uk-UA"/>
        </w:rPr>
      </w:pPr>
    </w:p>
    <w:p w14:paraId="3FDC1BB4" w14:textId="41DD1A65" w:rsidR="00E568A1" w:rsidRPr="00A91B10" w:rsidRDefault="00E568A1" w:rsidP="0037724F">
      <w:pPr>
        <w:autoSpaceDE w:val="0"/>
        <w:autoSpaceDN w:val="0"/>
        <w:adjustRightInd w:val="0"/>
        <w:spacing w:after="0" w:line="240" w:lineRule="auto"/>
        <w:jc w:val="both"/>
        <w:rPr>
          <w:rFonts w:ascii="Arial" w:hAnsi="Arial" w:cs="Arial"/>
          <w:color w:val="000000"/>
          <w:lang w:val="uk-UA"/>
        </w:rPr>
      </w:pPr>
      <w:r w:rsidRPr="00581A98">
        <w:rPr>
          <w:rFonts w:ascii="Arial" w:hAnsi="Arial" w:cs="Arial"/>
          <w:b/>
          <w:color w:val="833C0B" w:themeColor="accent2" w:themeShade="80"/>
          <w:lang w:val="uk-UA"/>
        </w:rPr>
        <w:t xml:space="preserve">1. </w:t>
      </w:r>
      <w:r w:rsidR="001C5EFA" w:rsidRPr="00581A98">
        <w:rPr>
          <w:rFonts w:ascii="Arial" w:hAnsi="Arial" w:cs="Arial"/>
          <w:b/>
          <w:color w:val="833C0B" w:themeColor="accent2" w:themeShade="80"/>
          <w:lang w:val="uk-UA"/>
        </w:rPr>
        <w:t>Лікування відбувається за ретельно контрольованих умов</w:t>
      </w:r>
      <w:r w:rsidRPr="00AA0376">
        <w:rPr>
          <w:rFonts w:ascii="Arial" w:hAnsi="Arial" w:cs="Arial"/>
          <w:color w:val="000000"/>
          <w:lang w:val="uk-UA"/>
        </w:rPr>
        <w:t xml:space="preserve">, </w:t>
      </w:r>
      <w:r w:rsidR="001C5EFA">
        <w:rPr>
          <w:rFonts w:ascii="Arial" w:hAnsi="Arial" w:cs="Arial"/>
          <w:color w:val="000000"/>
          <w:lang w:val="uk-UA"/>
        </w:rPr>
        <w:t xml:space="preserve">та з достриманням </w:t>
      </w:r>
      <w:r w:rsidRPr="00AA0376">
        <w:rPr>
          <w:rFonts w:ascii="Arial" w:hAnsi="Arial" w:cs="Arial"/>
          <w:color w:val="000000"/>
          <w:lang w:val="uk-UA"/>
        </w:rPr>
        <w:t>найкра</w:t>
      </w:r>
      <w:r w:rsidR="001C5EFA">
        <w:rPr>
          <w:rFonts w:ascii="Arial" w:hAnsi="Arial" w:cs="Arial"/>
          <w:color w:val="000000"/>
          <w:lang w:val="uk-UA"/>
        </w:rPr>
        <w:t>щих передових методів лікування</w:t>
      </w:r>
      <w:r w:rsidRPr="00AA0376">
        <w:rPr>
          <w:rFonts w:ascii="Arial" w:hAnsi="Arial" w:cs="Arial"/>
          <w:color w:val="000000"/>
          <w:lang w:val="uk-UA"/>
        </w:rPr>
        <w:t xml:space="preserve"> для забезпечення опт</w:t>
      </w:r>
      <w:r w:rsidR="00275813">
        <w:rPr>
          <w:rFonts w:ascii="Arial" w:hAnsi="Arial" w:cs="Arial"/>
          <w:color w:val="000000"/>
          <w:lang w:val="uk-UA"/>
        </w:rPr>
        <w:t>имальної ефективності та безпечності</w:t>
      </w:r>
      <w:r w:rsidRPr="00AA0376">
        <w:rPr>
          <w:rFonts w:ascii="Arial" w:hAnsi="Arial" w:cs="Arial"/>
          <w:color w:val="000000"/>
          <w:lang w:val="uk-UA"/>
        </w:rPr>
        <w:t xml:space="preserve"> препарату.</w:t>
      </w:r>
      <w:r>
        <w:rPr>
          <w:rFonts w:ascii="Arial" w:hAnsi="Arial" w:cs="Arial"/>
          <w:color w:val="000000"/>
          <w:lang w:val="uk-UA"/>
        </w:rPr>
        <w:t xml:space="preserve"> </w:t>
      </w:r>
      <w:r w:rsidRPr="00B505C7">
        <w:rPr>
          <w:rFonts w:ascii="Arial" w:hAnsi="Arial" w:cs="Arial"/>
          <w:color w:val="000000"/>
          <w:lang w:val="uk-UA"/>
        </w:rPr>
        <w:t>Враховуючи, що результати випробування Фази IIb показали надмірну смертність у групі бедаквіліну порівняно з групою плацебо, і що результати випробувань Фази III очікуються лише через кілька років, особливо важливо, щоб введення бед</w:t>
      </w:r>
      <w:r w:rsidR="00275813">
        <w:rPr>
          <w:rFonts w:ascii="Arial" w:hAnsi="Arial" w:cs="Arial"/>
          <w:color w:val="000000"/>
          <w:lang w:val="uk-UA"/>
        </w:rPr>
        <w:t>аквіліну ретельно контролювалося</w:t>
      </w:r>
      <w:r w:rsidR="00A91B10">
        <w:rPr>
          <w:rFonts w:ascii="Arial" w:hAnsi="Arial" w:cs="Arial"/>
          <w:color w:val="000000"/>
          <w:lang w:val="uk-UA"/>
        </w:rPr>
        <w:t>. Рекомендовано запровадження наступних заходів</w:t>
      </w:r>
      <w:r w:rsidRPr="00B505C7">
        <w:rPr>
          <w:rFonts w:ascii="Arial" w:hAnsi="Arial" w:cs="Arial"/>
          <w:color w:val="000000"/>
          <w:lang w:val="uk-UA"/>
        </w:rPr>
        <w:t>:</w:t>
      </w:r>
    </w:p>
    <w:p w14:paraId="302462B7" w14:textId="77777777" w:rsidR="00897A1E" w:rsidRDefault="00897A1E" w:rsidP="00897A1E">
      <w:pPr>
        <w:autoSpaceDE w:val="0"/>
        <w:autoSpaceDN w:val="0"/>
        <w:adjustRightInd w:val="0"/>
        <w:spacing w:after="0" w:line="240" w:lineRule="auto"/>
        <w:jc w:val="both"/>
        <w:rPr>
          <w:rFonts w:ascii="Arial" w:hAnsi="Arial" w:cs="Arial"/>
          <w:color w:val="000000"/>
          <w:lang w:val="uk-UA"/>
        </w:rPr>
      </w:pPr>
    </w:p>
    <w:p w14:paraId="2B743989" w14:textId="5ED0909D" w:rsidR="00E568A1" w:rsidRPr="00D45132" w:rsidRDefault="00E568A1" w:rsidP="00897A1E">
      <w:pPr>
        <w:autoSpaceDE w:val="0"/>
        <w:autoSpaceDN w:val="0"/>
        <w:adjustRightInd w:val="0"/>
        <w:spacing w:after="0" w:line="240" w:lineRule="auto"/>
        <w:jc w:val="both"/>
        <w:rPr>
          <w:rFonts w:ascii="Arial" w:hAnsi="Arial" w:cs="Arial"/>
          <w:color w:val="000000"/>
          <w:lang w:val="uk-UA"/>
        </w:rPr>
      </w:pPr>
      <w:r w:rsidRPr="00AB2125">
        <w:rPr>
          <w:rFonts w:ascii="Arial" w:hAnsi="Arial" w:cs="Arial"/>
          <w:color w:val="000000"/>
          <w:lang w:val="en-US"/>
        </w:rPr>
        <w:t>a</w:t>
      </w:r>
      <w:r w:rsidRPr="0013308B">
        <w:rPr>
          <w:rFonts w:ascii="Arial" w:hAnsi="Arial" w:cs="Arial"/>
          <w:color w:val="000000"/>
          <w:lang w:val="uk-UA"/>
        </w:rPr>
        <w:t xml:space="preserve">. </w:t>
      </w:r>
      <w:r w:rsidR="00A91B10" w:rsidRPr="00A91B10">
        <w:rPr>
          <w:rFonts w:ascii="Arial" w:hAnsi="Arial" w:cs="Arial"/>
          <w:color w:val="000000"/>
          <w:lang w:val="uk-UA"/>
        </w:rPr>
        <w:t xml:space="preserve">Протоколи з </w:t>
      </w:r>
      <w:r w:rsidRPr="00A91B10">
        <w:rPr>
          <w:rFonts w:ascii="Arial" w:hAnsi="Arial" w:cs="Arial"/>
          <w:color w:val="000000"/>
          <w:lang w:val="uk-UA"/>
        </w:rPr>
        <w:t xml:space="preserve">лікування та </w:t>
      </w:r>
      <w:r w:rsidR="00A91B10" w:rsidRPr="00A91B10">
        <w:rPr>
          <w:rFonts w:ascii="Arial" w:hAnsi="Arial" w:cs="Arial"/>
          <w:color w:val="000000"/>
          <w:lang w:val="uk-UA"/>
        </w:rPr>
        <w:t>ведення випадку</w:t>
      </w:r>
      <w:r w:rsidRPr="0013308B">
        <w:rPr>
          <w:rFonts w:ascii="Arial" w:hAnsi="Arial" w:cs="Arial"/>
          <w:color w:val="000000"/>
          <w:lang w:val="uk-UA"/>
        </w:rPr>
        <w:t>, включаючи чіткі критерії відбору пацієнтів, процедури отримання інформованої згоди пацієнта та визначення ролей і обов'язків усіх залучених фахівців.</w:t>
      </w:r>
      <w:r>
        <w:rPr>
          <w:rFonts w:ascii="Arial" w:hAnsi="Arial" w:cs="Arial"/>
          <w:color w:val="000000"/>
          <w:lang w:val="uk-UA"/>
        </w:rPr>
        <w:t xml:space="preserve"> </w:t>
      </w:r>
      <w:r w:rsidRPr="00D45132">
        <w:rPr>
          <w:rFonts w:ascii="Arial" w:hAnsi="Arial" w:cs="Arial"/>
          <w:color w:val="000000"/>
          <w:lang w:val="uk-UA"/>
        </w:rPr>
        <w:t>Протоколи лікування повинні передбачити можливість п</w:t>
      </w:r>
      <w:r w:rsidR="00E44EB6">
        <w:rPr>
          <w:rFonts w:ascii="Arial" w:hAnsi="Arial" w:cs="Arial"/>
          <w:color w:val="000000"/>
          <w:lang w:val="uk-UA"/>
        </w:rPr>
        <w:t>ерспективного з</w:t>
      </w:r>
      <w:r w:rsidRPr="00D45132">
        <w:rPr>
          <w:rFonts w:ascii="Arial" w:hAnsi="Arial" w:cs="Arial"/>
          <w:color w:val="000000"/>
          <w:lang w:val="uk-UA"/>
        </w:rPr>
        <w:t>бору даних по ключовим змінним як з то</w:t>
      </w:r>
      <w:r w:rsidR="00E44EB6">
        <w:rPr>
          <w:rFonts w:ascii="Arial" w:hAnsi="Arial" w:cs="Arial"/>
          <w:color w:val="000000"/>
          <w:lang w:val="uk-UA"/>
        </w:rPr>
        <w:t>чки зору ефективності так і безпечності</w:t>
      </w:r>
      <w:r w:rsidRPr="00D45132">
        <w:rPr>
          <w:rFonts w:ascii="Arial" w:hAnsi="Arial" w:cs="Arial"/>
          <w:color w:val="000000"/>
          <w:lang w:val="uk-UA"/>
        </w:rPr>
        <w:t>. Питання безпеки краще всього вирішувати, використовуючи</w:t>
      </w:r>
      <w:r w:rsidR="0013308B">
        <w:rPr>
          <w:rFonts w:ascii="Arial" w:hAnsi="Arial" w:cs="Arial"/>
          <w:color w:val="000000"/>
          <w:lang w:val="uk-UA"/>
        </w:rPr>
        <w:t xml:space="preserve"> методологію моніторингу когортного випадку</w:t>
      </w:r>
      <w:r w:rsidRPr="00D45132">
        <w:rPr>
          <w:rFonts w:ascii="Arial" w:hAnsi="Arial" w:cs="Arial"/>
          <w:color w:val="000000"/>
          <w:lang w:val="uk-UA"/>
        </w:rPr>
        <w:t>, яка застосовується для активного фармакологічного нагляду.</w:t>
      </w:r>
      <w:r>
        <w:rPr>
          <w:rFonts w:ascii="Arial" w:hAnsi="Arial" w:cs="Arial"/>
          <w:color w:val="000000"/>
          <w:lang w:val="uk-UA"/>
        </w:rPr>
        <w:t xml:space="preserve"> </w:t>
      </w:r>
      <w:r w:rsidRPr="00D45132">
        <w:rPr>
          <w:rFonts w:ascii="Arial" w:hAnsi="Arial" w:cs="Arial"/>
          <w:color w:val="000000"/>
          <w:lang w:val="uk-UA"/>
        </w:rPr>
        <w:t>Електронні системи полегшать ефективне управління даними т</w:t>
      </w:r>
      <w:r w:rsidR="00F74FEA">
        <w:rPr>
          <w:rFonts w:ascii="Arial" w:hAnsi="Arial" w:cs="Arial"/>
          <w:color w:val="000000"/>
          <w:lang w:val="uk-UA"/>
        </w:rPr>
        <w:t>а формування ключових індикаторів</w:t>
      </w:r>
      <w:r w:rsidRPr="00D45132">
        <w:rPr>
          <w:rFonts w:ascii="Arial" w:hAnsi="Arial" w:cs="Arial"/>
          <w:color w:val="000000"/>
          <w:lang w:val="uk-UA"/>
        </w:rPr>
        <w:t>.</w:t>
      </w:r>
    </w:p>
    <w:p w14:paraId="7EEBDF6B" w14:textId="77777777" w:rsidR="00897A1E" w:rsidRDefault="00897A1E" w:rsidP="00897A1E">
      <w:pPr>
        <w:autoSpaceDE w:val="0"/>
        <w:autoSpaceDN w:val="0"/>
        <w:adjustRightInd w:val="0"/>
        <w:spacing w:after="0" w:line="240" w:lineRule="auto"/>
        <w:jc w:val="both"/>
        <w:rPr>
          <w:rFonts w:ascii="Arial" w:hAnsi="Arial" w:cs="Arial"/>
          <w:color w:val="000000"/>
          <w:lang w:val="en-US"/>
        </w:rPr>
      </w:pPr>
    </w:p>
    <w:p w14:paraId="24D0181C" w14:textId="026E3D23" w:rsidR="00E568A1" w:rsidRDefault="00F74FEA" w:rsidP="00897A1E">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en-US"/>
        </w:rPr>
        <w:t>б</w:t>
      </w:r>
      <w:r w:rsidR="00E568A1" w:rsidRPr="00D45132">
        <w:rPr>
          <w:rFonts w:ascii="Arial" w:hAnsi="Arial" w:cs="Arial"/>
          <w:color w:val="000000"/>
        </w:rPr>
        <w:t xml:space="preserve">. Протоколи лікування </w:t>
      </w:r>
      <w:r w:rsidR="000E1C58">
        <w:rPr>
          <w:rFonts w:ascii="Arial" w:hAnsi="Arial" w:cs="Arial"/>
          <w:color w:val="000000"/>
        </w:rPr>
        <w:t>подаються на затвердження</w:t>
      </w:r>
      <w:r w:rsidR="00E568A1" w:rsidRPr="00D45132">
        <w:rPr>
          <w:rFonts w:ascii="Arial" w:hAnsi="Arial" w:cs="Arial"/>
          <w:color w:val="000000"/>
        </w:rPr>
        <w:t xml:space="preserve"> відповідним національни</w:t>
      </w:r>
      <w:r w:rsidR="000E1C58">
        <w:rPr>
          <w:rFonts w:ascii="Arial" w:hAnsi="Arial" w:cs="Arial"/>
          <w:color w:val="000000"/>
        </w:rPr>
        <w:t>м органом з питань етики до початку процесу залучення пацієнтів до</w:t>
      </w:r>
      <w:r w:rsidR="00E568A1" w:rsidRPr="00D45132">
        <w:rPr>
          <w:rFonts w:ascii="Arial" w:hAnsi="Arial" w:cs="Arial"/>
          <w:color w:val="000000"/>
        </w:rPr>
        <w:t xml:space="preserve"> курсу лікування.</w:t>
      </w:r>
    </w:p>
    <w:p w14:paraId="39E6FD03" w14:textId="77777777" w:rsidR="00897A1E" w:rsidRDefault="00897A1E" w:rsidP="00897A1E">
      <w:pPr>
        <w:autoSpaceDE w:val="0"/>
        <w:autoSpaceDN w:val="0"/>
        <w:adjustRightInd w:val="0"/>
        <w:spacing w:after="0" w:line="240" w:lineRule="auto"/>
        <w:jc w:val="both"/>
        <w:rPr>
          <w:rFonts w:ascii="Arial" w:hAnsi="Arial" w:cs="Arial"/>
          <w:color w:val="000000"/>
          <w:lang w:val="uk-UA"/>
        </w:rPr>
      </w:pPr>
    </w:p>
    <w:p w14:paraId="65CBBF2B" w14:textId="31C6DA89" w:rsidR="00E568A1" w:rsidRDefault="000E1C58" w:rsidP="00897A1E">
      <w:pPr>
        <w:autoSpaceDE w:val="0"/>
        <w:autoSpaceDN w:val="0"/>
        <w:adjustRightInd w:val="0"/>
        <w:spacing w:after="0" w:line="240" w:lineRule="auto"/>
        <w:jc w:val="both"/>
        <w:rPr>
          <w:rFonts w:ascii="Arial" w:hAnsi="Arial" w:cs="Arial"/>
          <w:color w:val="000000"/>
          <w:lang w:val="uk-UA"/>
        </w:rPr>
      </w:pPr>
      <w:r>
        <w:rPr>
          <w:rFonts w:ascii="Arial" w:hAnsi="Arial" w:cs="Arial"/>
          <w:color w:val="000000"/>
        </w:rPr>
        <w:t>в. Бажано</w:t>
      </w:r>
      <w:r w:rsidR="00E568A1" w:rsidRPr="00CB57B9">
        <w:rPr>
          <w:rFonts w:ascii="Arial" w:hAnsi="Arial" w:cs="Arial"/>
          <w:color w:val="000000"/>
        </w:rPr>
        <w:t xml:space="preserve">, </w:t>
      </w:r>
      <w:r>
        <w:rPr>
          <w:rFonts w:ascii="Arial" w:hAnsi="Arial" w:cs="Arial"/>
          <w:color w:val="000000"/>
        </w:rPr>
        <w:t xml:space="preserve">щоб </w:t>
      </w:r>
      <w:r w:rsidR="00E568A1" w:rsidRPr="00CB57B9">
        <w:rPr>
          <w:rFonts w:ascii="Arial" w:hAnsi="Arial" w:cs="Arial"/>
          <w:color w:val="000000"/>
        </w:rPr>
        <w:t xml:space="preserve">нагляд за програмами лікування та </w:t>
      </w:r>
      <w:r>
        <w:rPr>
          <w:rFonts w:ascii="Arial" w:hAnsi="Arial" w:cs="Arial"/>
          <w:color w:val="000000"/>
        </w:rPr>
        <w:t>ведення випадків виконувавс</w:t>
      </w:r>
      <w:r w:rsidR="00E568A1" w:rsidRPr="00CB57B9">
        <w:rPr>
          <w:rFonts w:ascii="Arial" w:hAnsi="Arial" w:cs="Arial"/>
          <w:color w:val="000000"/>
        </w:rPr>
        <w:t xml:space="preserve">я незалежною групою експертів в області клінічного </w:t>
      </w:r>
      <w:r w:rsidR="0013308B">
        <w:rPr>
          <w:rFonts w:ascii="Arial" w:hAnsi="Arial" w:cs="Arial"/>
          <w:color w:val="000000"/>
          <w:lang w:val="uk-UA"/>
        </w:rPr>
        <w:t>лікування</w:t>
      </w:r>
      <w:r w:rsidR="00E568A1" w:rsidRPr="00CB57B9">
        <w:rPr>
          <w:rFonts w:ascii="Arial" w:hAnsi="Arial" w:cs="Arial"/>
          <w:color w:val="000000"/>
        </w:rPr>
        <w:t xml:space="preserve"> та охорони </w:t>
      </w:r>
      <w:r>
        <w:rPr>
          <w:rFonts w:ascii="Arial" w:hAnsi="Arial" w:cs="Arial"/>
          <w:color w:val="000000"/>
        </w:rPr>
        <w:t xml:space="preserve">громадського </w:t>
      </w:r>
      <w:r w:rsidR="00E568A1" w:rsidRPr="00CB57B9">
        <w:rPr>
          <w:rFonts w:ascii="Arial" w:hAnsi="Arial" w:cs="Arial"/>
          <w:color w:val="000000"/>
        </w:rPr>
        <w:t xml:space="preserve">здоров'я - наприклад,  національна консультативна група з </w:t>
      </w:r>
      <w:r w:rsidR="009B51D9">
        <w:rPr>
          <w:rFonts w:ascii="Arial" w:hAnsi="Arial" w:cs="Arial"/>
          <w:color w:val="000000"/>
        </w:rPr>
        <w:t>МР ТБ</w:t>
      </w:r>
      <w:r w:rsidR="00E568A1" w:rsidRPr="00CB57B9">
        <w:rPr>
          <w:rFonts w:ascii="Arial" w:hAnsi="Arial" w:cs="Arial"/>
          <w:color w:val="000000"/>
        </w:rPr>
        <w:t>.</w:t>
      </w:r>
    </w:p>
    <w:p w14:paraId="5471D0B4" w14:textId="77777777" w:rsidR="00E568A1" w:rsidRPr="00CB57B9" w:rsidRDefault="00E568A1" w:rsidP="0037724F">
      <w:pPr>
        <w:autoSpaceDE w:val="0"/>
        <w:autoSpaceDN w:val="0"/>
        <w:adjustRightInd w:val="0"/>
        <w:spacing w:after="0" w:line="240" w:lineRule="auto"/>
        <w:jc w:val="both"/>
        <w:rPr>
          <w:rFonts w:ascii="Arial" w:hAnsi="Arial" w:cs="Arial"/>
          <w:color w:val="000000"/>
          <w:lang w:val="uk-UA"/>
        </w:rPr>
      </w:pPr>
    </w:p>
    <w:p w14:paraId="2D605B70" w14:textId="223C1274" w:rsidR="00E568A1" w:rsidRPr="003C6AD6" w:rsidRDefault="00E568A1" w:rsidP="0037724F">
      <w:pPr>
        <w:autoSpaceDE w:val="0"/>
        <w:autoSpaceDN w:val="0"/>
        <w:adjustRightInd w:val="0"/>
        <w:spacing w:after="0" w:line="240" w:lineRule="auto"/>
        <w:jc w:val="both"/>
        <w:rPr>
          <w:rFonts w:ascii="Arial" w:hAnsi="Arial" w:cs="Arial"/>
          <w:color w:val="000000"/>
          <w:lang w:val="uk-UA"/>
        </w:rPr>
      </w:pPr>
      <w:r w:rsidRPr="003C6AD6">
        <w:rPr>
          <w:rFonts w:ascii="Arial" w:hAnsi="Arial" w:cs="Arial"/>
          <w:b/>
          <w:color w:val="000000"/>
        </w:rPr>
        <w:t xml:space="preserve">2. </w:t>
      </w:r>
      <w:r w:rsidR="000E1C58">
        <w:rPr>
          <w:rFonts w:ascii="Arial" w:hAnsi="Arial" w:cs="Arial"/>
          <w:b/>
          <w:color w:val="000000"/>
        </w:rPr>
        <w:t>Належний процес в</w:t>
      </w:r>
      <w:r w:rsidR="00BB5C58">
        <w:rPr>
          <w:rFonts w:ascii="Arial" w:hAnsi="Arial" w:cs="Arial"/>
          <w:b/>
          <w:color w:val="000000"/>
        </w:rPr>
        <w:t xml:space="preserve">ключення </w:t>
      </w:r>
      <w:r w:rsidRPr="003C6AD6">
        <w:rPr>
          <w:rFonts w:ascii="Arial" w:hAnsi="Arial" w:cs="Arial"/>
          <w:b/>
          <w:color w:val="000000"/>
        </w:rPr>
        <w:t>пацієнта.</w:t>
      </w:r>
      <w:r w:rsidRPr="00CB57B9">
        <w:rPr>
          <w:rFonts w:ascii="Arial" w:hAnsi="Arial" w:cs="Arial"/>
          <w:color w:val="000000"/>
        </w:rPr>
        <w:t xml:space="preserve"> Поточна рекомендація щодо використан</w:t>
      </w:r>
      <w:r w:rsidR="00315F42">
        <w:rPr>
          <w:rFonts w:ascii="Arial" w:hAnsi="Arial" w:cs="Arial"/>
          <w:color w:val="000000"/>
        </w:rPr>
        <w:t>я бедаквілідну застосовується д</w:t>
      </w:r>
      <w:r w:rsidR="00315F42">
        <w:rPr>
          <w:rFonts w:ascii="Arial" w:hAnsi="Arial" w:cs="Arial"/>
          <w:color w:val="000000"/>
          <w:lang w:val="uk-UA"/>
        </w:rPr>
        <w:t>ля</w:t>
      </w:r>
      <w:r w:rsidRPr="00CB57B9">
        <w:rPr>
          <w:rFonts w:ascii="Arial" w:hAnsi="Arial" w:cs="Arial"/>
          <w:color w:val="000000"/>
        </w:rPr>
        <w:t xml:space="preserve"> дорослих (≥18 років) з захворюваннями легенів. Особлива обережність необхідна, коли бедаквілін застосовується для осіб віком 65 років і старше, а також для дорослих, які живуть з ВІЛ, оскільки дані про ефективність та безпеку надзвичайно обмежені.</w:t>
      </w:r>
      <w:r>
        <w:rPr>
          <w:rFonts w:ascii="Arial" w:hAnsi="Arial" w:cs="Arial"/>
          <w:color w:val="000000"/>
          <w:lang w:val="uk-UA"/>
        </w:rPr>
        <w:t xml:space="preserve"> </w:t>
      </w:r>
      <w:r w:rsidR="007D3500">
        <w:rPr>
          <w:rFonts w:ascii="Arial" w:hAnsi="Arial" w:cs="Arial"/>
          <w:color w:val="000000"/>
          <w:lang w:val="uk-UA"/>
        </w:rPr>
        <w:t>Застосування</w:t>
      </w:r>
      <w:r w:rsidRPr="003C6AD6">
        <w:rPr>
          <w:rFonts w:ascii="Arial" w:hAnsi="Arial" w:cs="Arial"/>
          <w:color w:val="000000"/>
          <w:lang w:val="uk-UA"/>
        </w:rPr>
        <w:t xml:space="preserve"> преп</w:t>
      </w:r>
      <w:r w:rsidR="00187EB7">
        <w:rPr>
          <w:rFonts w:ascii="Arial" w:hAnsi="Arial" w:cs="Arial"/>
          <w:color w:val="000000"/>
          <w:lang w:val="uk-UA"/>
        </w:rPr>
        <w:t>арату вагітни</w:t>
      </w:r>
      <w:r w:rsidR="00315F42">
        <w:rPr>
          <w:rFonts w:ascii="Arial" w:hAnsi="Arial" w:cs="Arial"/>
          <w:color w:val="000000"/>
          <w:lang w:val="uk-UA"/>
        </w:rPr>
        <w:t>ми жінками та діть</w:t>
      </w:r>
      <w:r w:rsidRPr="003C6AD6">
        <w:rPr>
          <w:rFonts w:ascii="Arial" w:hAnsi="Arial" w:cs="Arial"/>
          <w:color w:val="000000"/>
          <w:lang w:val="uk-UA"/>
        </w:rPr>
        <w:t xml:space="preserve">ми не рекомендується через брак доказів </w:t>
      </w:r>
      <w:r w:rsidR="00931527">
        <w:rPr>
          <w:rFonts w:ascii="Arial" w:hAnsi="Arial" w:cs="Arial"/>
          <w:color w:val="000000"/>
          <w:lang w:val="uk-UA"/>
        </w:rPr>
        <w:t>про безпеку та ефективність</w:t>
      </w:r>
      <w:r w:rsidRPr="003C6AD6">
        <w:rPr>
          <w:rFonts w:ascii="Arial" w:hAnsi="Arial" w:cs="Arial"/>
          <w:color w:val="000000"/>
          <w:lang w:val="uk-UA"/>
        </w:rPr>
        <w:t xml:space="preserve">. Хоча пацієнти з позалегеневим захворюванням не були включені до </w:t>
      </w:r>
      <w:r w:rsidR="00BB5C58">
        <w:rPr>
          <w:rFonts w:ascii="Arial" w:hAnsi="Arial" w:cs="Arial"/>
          <w:color w:val="000000"/>
          <w:lang w:val="uk-UA"/>
        </w:rPr>
        <w:t xml:space="preserve">клінічного </w:t>
      </w:r>
      <w:r w:rsidRPr="003C6AD6">
        <w:rPr>
          <w:rFonts w:ascii="Arial" w:hAnsi="Arial" w:cs="Arial"/>
          <w:color w:val="000000"/>
          <w:lang w:val="uk-UA"/>
        </w:rPr>
        <w:t>випробуван</w:t>
      </w:r>
      <w:r w:rsidR="00BB5C58">
        <w:rPr>
          <w:rFonts w:ascii="Arial" w:hAnsi="Arial" w:cs="Arial"/>
          <w:color w:val="000000"/>
          <w:lang w:val="uk-UA"/>
        </w:rPr>
        <w:t xml:space="preserve">ня бедаквіліну, </w:t>
      </w:r>
      <w:r w:rsidR="00BB5C58">
        <w:rPr>
          <w:rFonts w:ascii="Arial" w:hAnsi="Arial" w:cs="Arial"/>
          <w:color w:val="000000"/>
          <w:lang w:val="uk-UA"/>
        </w:rPr>
        <w:lastRenderedPageBreak/>
        <w:t>можна розглядати</w:t>
      </w:r>
      <w:r w:rsidRPr="003C6AD6">
        <w:rPr>
          <w:rFonts w:ascii="Arial" w:hAnsi="Arial" w:cs="Arial"/>
          <w:color w:val="000000"/>
          <w:lang w:val="uk-UA"/>
        </w:rPr>
        <w:t xml:space="preserve"> </w:t>
      </w:r>
      <w:r w:rsidR="00931527">
        <w:rPr>
          <w:rFonts w:ascii="Arial" w:hAnsi="Arial" w:cs="Arial"/>
          <w:color w:val="000000"/>
          <w:lang w:val="uk-UA"/>
        </w:rPr>
        <w:t xml:space="preserve">можливість </w:t>
      </w:r>
      <w:r w:rsidR="007D3500">
        <w:rPr>
          <w:rFonts w:ascii="Arial" w:hAnsi="Arial" w:cs="Arial"/>
          <w:color w:val="000000"/>
          <w:lang w:val="uk-UA"/>
        </w:rPr>
        <w:t>застосування</w:t>
      </w:r>
      <w:r w:rsidR="00931527">
        <w:rPr>
          <w:rFonts w:ascii="Arial" w:hAnsi="Arial" w:cs="Arial"/>
          <w:color w:val="000000"/>
          <w:lang w:val="uk-UA"/>
        </w:rPr>
        <w:t xml:space="preserve"> препарат</w:t>
      </w:r>
      <w:r w:rsidRPr="003C6AD6">
        <w:rPr>
          <w:rFonts w:ascii="Arial" w:hAnsi="Arial" w:cs="Arial"/>
          <w:color w:val="000000"/>
          <w:lang w:val="uk-UA"/>
        </w:rPr>
        <w:t>у пацієнтами з позалегене</w:t>
      </w:r>
      <w:r w:rsidR="00BB5C58">
        <w:rPr>
          <w:rFonts w:ascii="Arial" w:hAnsi="Arial" w:cs="Arial"/>
          <w:color w:val="000000"/>
          <w:lang w:val="uk-UA"/>
        </w:rPr>
        <w:t>вим туберкульозом засновуючись на відомих даних</w:t>
      </w:r>
      <w:r w:rsidRPr="003C6AD6">
        <w:rPr>
          <w:rFonts w:ascii="Arial" w:hAnsi="Arial" w:cs="Arial"/>
          <w:color w:val="000000"/>
          <w:lang w:val="uk-UA"/>
        </w:rPr>
        <w:t xml:space="preserve"> </w:t>
      </w:r>
      <w:r w:rsidR="00BB5C58">
        <w:rPr>
          <w:rFonts w:ascii="Arial" w:hAnsi="Arial" w:cs="Arial"/>
          <w:color w:val="000000"/>
          <w:lang w:val="uk-UA"/>
        </w:rPr>
        <w:t xml:space="preserve">щодо його застосування у </w:t>
      </w:r>
      <w:r w:rsidRPr="003C6AD6">
        <w:rPr>
          <w:rFonts w:ascii="Arial" w:hAnsi="Arial" w:cs="Arial"/>
          <w:color w:val="000000"/>
          <w:lang w:val="uk-UA"/>
        </w:rPr>
        <w:t>пацієнтів з туберкульозом легенів.</w:t>
      </w:r>
    </w:p>
    <w:p w14:paraId="64A0AD8E" w14:textId="77777777" w:rsidR="00E568A1" w:rsidRPr="00D81B66" w:rsidRDefault="00E568A1" w:rsidP="0037724F">
      <w:pPr>
        <w:autoSpaceDE w:val="0"/>
        <w:autoSpaceDN w:val="0"/>
        <w:adjustRightInd w:val="0"/>
        <w:spacing w:after="0" w:line="240" w:lineRule="auto"/>
        <w:jc w:val="both"/>
        <w:rPr>
          <w:rFonts w:ascii="Arial" w:hAnsi="Arial" w:cs="Arial"/>
          <w:color w:val="6A2041"/>
          <w:lang w:val="uk-UA"/>
        </w:rPr>
      </w:pPr>
    </w:p>
    <w:p w14:paraId="3D35AEAA" w14:textId="2FB25D86" w:rsidR="00E568A1" w:rsidRDefault="00D52A1D" w:rsidP="0037724F">
      <w:pPr>
        <w:autoSpaceDE w:val="0"/>
        <w:autoSpaceDN w:val="0"/>
        <w:adjustRightInd w:val="0"/>
        <w:spacing w:after="0" w:line="240" w:lineRule="auto"/>
        <w:jc w:val="both"/>
        <w:rPr>
          <w:rFonts w:ascii="Arial" w:hAnsi="Arial" w:cs="Arial"/>
          <w:color w:val="000000"/>
          <w:lang w:val="uk-UA"/>
        </w:rPr>
      </w:pPr>
      <w:r w:rsidRPr="00D81B66">
        <w:rPr>
          <w:rFonts w:ascii="Arial" w:hAnsi="Arial" w:cs="Arial"/>
          <w:b/>
          <w:color w:val="6A2041"/>
        </w:rPr>
        <w:t xml:space="preserve">3. Отримання інформованої </w:t>
      </w:r>
      <w:r w:rsidR="00E568A1" w:rsidRPr="00D81B66">
        <w:rPr>
          <w:rFonts w:ascii="Arial" w:hAnsi="Arial" w:cs="Arial"/>
          <w:b/>
          <w:color w:val="6A2041"/>
        </w:rPr>
        <w:t>згоди пацієнта на участь</w:t>
      </w:r>
      <w:r w:rsidR="00E568A1" w:rsidRPr="00AF72C4">
        <w:rPr>
          <w:rFonts w:ascii="Arial" w:hAnsi="Arial" w:cs="Arial"/>
          <w:b/>
          <w:color w:val="000000"/>
        </w:rPr>
        <w:t>.</w:t>
      </w:r>
      <w:r w:rsidR="00E568A1" w:rsidRPr="00AF72C4">
        <w:rPr>
          <w:rFonts w:ascii="Arial" w:hAnsi="Arial" w:cs="Arial"/>
          <w:color w:val="000000"/>
        </w:rPr>
        <w:t xml:space="preserve"> Постачальники медичних послуг повинні забезпечити</w:t>
      </w:r>
      <w:r w:rsidR="00F83661">
        <w:rPr>
          <w:rFonts w:ascii="Arial" w:hAnsi="Arial" w:cs="Arial"/>
          <w:color w:val="000000"/>
        </w:rPr>
        <w:t xml:space="preserve"> наступне: пацієнт повинен</w:t>
      </w:r>
      <w:r w:rsidR="00E568A1" w:rsidRPr="00AF72C4">
        <w:rPr>
          <w:rFonts w:ascii="Arial" w:hAnsi="Arial" w:cs="Arial"/>
          <w:color w:val="000000"/>
        </w:rPr>
        <w:t xml:space="preserve"> (</w:t>
      </w:r>
      <w:r w:rsidR="00E568A1" w:rsidRPr="00AF72C4">
        <w:rPr>
          <w:rFonts w:ascii="Arial" w:hAnsi="Arial" w:cs="Arial"/>
          <w:color w:val="000000"/>
          <w:lang w:val="en-US"/>
        </w:rPr>
        <w:t>i</w:t>
      </w:r>
      <w:r w:rsidR="00F83661">
        <w:rPr>
          <w:rFonts w:ascii="Arial" w:hAnsi="Arial" w:cs="Arial"/>
          <w:color w:val="000000"/>
        </w:rPr>
        <w:t xml:space="preserve">) знати </w:t>
      </w:r>
      <w:r>
        <w:rPr>
          <w:rFonts w:ascii="Arial" w:hAnsi="Arial" w:cs="Arial"/>
          <w:color w:val="000000"/>
        </w:rPr>
        <w:t>про</w:t>
      </w:r>
      <w:r w:rsidR="00E568A1" w:rsidRPr="00AF72C4">
        <w:rPr>
          <w:rFonts w:ascii="Arial" w:hAnsi="Arial" w:cs="Arial"/>
          <w:color w:val="000000"/>
        </w:rPr>
        <w:t xml:space="preserve"> новий препарат - бедаквілін; (</w:t>
      </w:r>
      <w:r w:rsidR="00E568A1" w:rsidRPr="00AF72C4">
        <w:rPr>
          <w:rFonts w:ascii="Arial" w:hAnsi="Arial" w:cs="Arial"/>
          <w:color w:val="000000"/>
          <w:lang w:val="en-US"/>
        </w:rPr>
        <w:t>ii</w:t>
      </w:r>
      <w:r w:rsidR="00D81B66">
        <w:rPr>
          <w:rFonts w:ascii="Arial" w:hAnsi="Arial" w:cs="Arial"/>
          <w:color w:val="000000"/>
        </w:rPr>
        <w:t>) розуміти</w:t>
      </w:r>
      <w:r w:rsidR="00E568A1" w:rsidRPr="00AF72C4">
        <w:rPr>
          <w:rFonts w:ascii="Arial" w:hAnsi="Arial" w:cs="Arial"/>
          <w:color w:val="000000"/>
        </w:rPr>
        <w:t xml:space="preserve"> причину, чому пропонується включити препарат до схеми лікування;</w:t>
      </w:r>
      <w:r w:rsidR="00E568A1">
        <w:rPr>
          <w:rFonts w:ascii="Arial" w:hAnsi="Arial" w:cs="Arial"/>
          <w:color w:val="000000"/>
          <w:lang w:val="uk-UA"/>
        </w:rPr>
        <w:t xml:space="preserve"> </w:t>
      </w:r>
      <w:r w:rsidR="008F5D1E">
        <w:rPr>
          <w:rFonts w:ascii="Arial" w:hAnsi="Arial" w:cs="Arial"/>
          <w:color w:val="000000"/>
          <w:lang w:val="uk-UA"/>
        </w:rPr>
        <w:t>та (iii) розуміти</w:t>
      </w:r>
      <w:r>
        <w:rPr>
          <w:rFonts w:ascii="Arial" w:hAnsi="Arial" w:cs="Arial"/>
          <w:color w:val="000000"/>
          <w:lang w:val="uk-UA"/>
        </w:rPr>
        <w:t xml:space="preserve"> </w:t>
      </w:r>
      <w:r w:rsidR="0000407D">
        <w:rPr>
          <w:rFonts w:ascii="Arial" w:hAnsi="Arial" w:cs="Arial"/>
          <w:color w:val="000000"/>
          <w:lang w:val="uk-UA"/>
        </w:rPr>
        <w:t>користь</w:t>
      </w:r>
      <w:r w:rsidR="00E568A1" w:rsidRPr="00262B30">
        <w:rPr>
          <w:rFonts w:ascii="Arial" w:hAnsi="Arial" w:cs="Arial"/>
          <w:color w:val="000000"/>
          <w:lang w:val="uk-UA"/>
        </w:rPr>
        <w:t xml:space="preserve"> та потенційну шкоду</w:t>
      </w:r>
      <w:r>
        <w:rPr>
          <w:rFonts w:ascii="Arial" w:hAnsi="Arial" w:cs="Arial"/>
          <w:color w:val="000000"/>
          <w:lang w:val="uk-UA"/>
        </w:rPr>
        <w:t xml:space="preserve"> від застосування препарату</w:t>
      </w:r>
      <w:r w:rsidR="00E568A1" w:rsidRPr="00262B30">
        <w:rPr>
          <w:rFonts w:ascii="Arial" w:hAnsi="Arial" w:cs="Arial"/>
          <w:color w:val="000000"/>
          <w:lang w:val="uk-UA"/>
        </w:rPr>
        <w:t>. Крім того, працівники охорони здоров'я повинні отримати згоду пац</w:t>
      </w:r>
      <w:r w:rsidR="00931527">
        <w:rPr>
          <w:rFonts w:ascii="Arial" w:hAnsi="Arial" w:cs="Arial"/>
          <w:color w:val="000000"/>
          <w:lang w:val="uk-UA"/>
        </w:rPr>
        <w:t>ієнта на включення бедаквіліну до прописаного</w:t>
      </w:r>
      <w:r w:rsidR="00E568A1" w:rsidRPr="00262B30">
        <w:rPr>
          <w:rFonts w:ascii="Arial" w:hAnsi="Arial" w:cs="Arial"/>
          <w:color w:val="000000"/>
          <w:lang w:val="uk-UA"/>
        </w:rPr>
        <w:t xml:space="preserve"> режим</w:t>
      </w:r>
      <w:r w:rsidR="00931527">
        <w:rPr>
          <w:rFonts w:ascii="Arial" w:hAnsi="Arial" w:cs="Arial"/>
          <w:color w:val="000000"/>
          <w:lang w:val="uk-UA"/>
        </w:rPr>
        <w:t>у</w:t>
      </w:r>
      <w:r w:rsidR="00E568A1" w:rsidRPr="00262B30">
        <w:rPr>
          <w:rFonts w:ascii="Arial" w:hAnsi="Arial" w:cs="Arial"/>
          <w:color w:val="000000"/>
          <w:lang w:val="uk-UA"/>
        </w:rPr>
        <w:t xml:space="preserve"> лікування. Цей процес інформованої згоди повинен бути задокументов</w:t>
      </w:r>
      <w:r w:rsidR="00931527">
        <w:rPr>
          <w:rFonts w:ascii="Arial" w:hAnsi="Arial" w:cs="Arial"/>
          <w:color w:val="000000"/>
          <w:lang w:val="uk-UA"/>
        </w:rPr>
        <w:t>аний та підписаний пацієнтом, і</w:t>
      </w:r>
      <w:r w:rsidR="00E568A1" w:rsidRPr="00262B30">
        <w:rPr>
          <w:rFonts w:ascii="Arial" w:hAnsi="Arial" w:cs="Arial"/>
          <w:color w:val="000000"/>
          <w:lang w:val="uk-UA"/>
        </w:rPr>
        <w:t xml:space="preserve"> </w:t>
      </w:r>
      <w:r w:rsidR="00F83661">
        <w:rPr>
          <w:rFonts w:ascii="Arial" w:hAnsi="Arial" w:cs="Arial"/>
          <w:color w:val="000000"/>
          <w:lang w:val="uk-UA"/>
        </w:rPr>
        <w:t xml:space="preserve">повинен </w:t>
      </w:r>
      <w:r w:rsidR="00E568A1" w:rsidRPr="00262B30">
        <w:rPr>
          <w:rFonts w:ascii="Arial" w:hAnsi="Arial" w:cs="Arial"/>
          <w:color w:val="000000"/>
          <w:lang w:val="uk-UA"/>
        </w:rPr>
        <w:t xml:space="preserve">застосовуватися </w:t>
      </w:r>
      <w:r w:rsidR="00187EB7">
        <w:rPr>
          <w:rFonts w:ascii="Arial" w:hAnsi="Arial" w:cs="Arial"/>
          <w:color w:val="000000"/>
          <w:lang w:val="uk-UA"/>
        </w:rPr>
        <w:t>у</w:t>
      </w:r>
      <w:r w:rsidR="00931527">
        <w:rPr>
          <w:rFonts w:ascii="Arial" w:hAnsi="Arial" w:cs="Arial"/>
          <w:color w:val="000000"/>
          <w:lang w:val="uk-UA"/>
        </w:rPr>
        <w:t xml:space="preserve"> всіх ситуаціях</w:t>
      </w:r>
      <w:r w:rsidR="00F83661">
        <w:rPr>
          <w:rFonts w:ascii="Arial" w:hAnsi="Arial" w:cs="Arial"/>
          <w:color w:val="000000"/>
          <w:lang w:val="uk-UA"/>
        </w:rPr>
        <w:t>, коли буде призначатися бедаквілін</w:t>
      </w:r>
      <w:r w:rsidR="00E568A1" w:rsidRPr="00262B30">
        <w:rPr>
          <w:rFonts w:ascii="Arial" w:hAnsi="Arial" w:cs="Arial"/>
          <w:color w:val="000000"/>
          <w:lang w:val="uk-UA"/>
        </w:rPr>
        <w:t>, в тому числі</w:t>
      </w:r>
      <w:r w:rsidR="00931527">
        <w:rPr>
          <w:rFonts w:ascii="Arial" w:hAnsi="Arial" w:cs="Arial"/>
          <w:color w:val="000000"/>
          <w:lang w:val="uk-UA"/>
        </w:rPr>
        <w:t>,</w:t>
      </w:r>
      <w:r w:rsidR="00E568A1" w:rsidRPr="00262B30">
        <w:rPr>
          <w:rFonts w:ascii="Arial" w:hAnsi="Arial" w:cs="Arial"/>
          <w:color w:val="000000"/>
          <w:lang w:val="uk-UA"/>
        </w:rPr>
        <w:t xml:space="preserve"> в рамках </w:t>
      </w:r>
      <w:r w:rsidR="00D81B66">
        <w:rPr>
          <w:rFonts w:ascii="Arial" w:hAnsi="Arial" w:cs="Arial"/>
          <w:color w:val="000000"/>
          <w:lang w:val="uk-UA"/>
        </w:rPr>
        <w:t>програм</w:t>
      </w:r>
      <w:r w:rsidR="00D81B66" w:rsidRPr="00D81B66">
        <w:rPr>
          <w:rFonts w:ascii="Arial" w:hAnsi="Arial" w:cs="Arial"/>
          <w:color w:val="000000"/>
          <w:lang w:val="uk-UA"/>
        </w:rPr>
        <w:t xml:space="preserve"> благодійно-випробувального застосування</w:t>
      </w:r>
    </w:p>
    <w:p w14:paraId="33B4A95A" w14:textId="77777777" w:rsidR="00D81B66" w:rsidRDefault="00D81B66" w:rsidP="0037724F">
      <w:pPr>
        <w:autoSpaceDE w:val="0"/>
        <w:autoSpaceDN w:val="0"/>
        <w:adjustRightInd w:val="0"/>
        <w:spacing w:after="0" w:line="240" w:lineRule="auto"/>
        <w:jc w:val="both"/>
        <w:rPr>
          <w:rFonts w:ascii="Arial" w:hAnsi="Arial" w:cs="Arial"/>
          <w:b/>
          <w:bCs/>
          <w:color w:val="000000"/>
          <w:lang w:val="uk-UA"/>
        </w:rPr>
      </w:pPr>
    </w:p>
    <w:p w14:paraId="4F7A907E" w14:textId="6B0EDFB8" w:rsidR="00E568A1" w:rsidRDefault="00E568A1" w:rsidP="0037724F">
      <w:pPr>
        <w:autoSpaceDE w:val="0"/>
        <w:autoSpaceDN w:val="0"/>
        <w:adjustRightInd w:val="0"/>
        <w:spacing w:after="0" w:line="240" w:lineRule="auto"/>
        <w:jc w:val="both"/>
        <w:rPr>
          <w:rFonts w:ascii="Arial" w:hAnsi="Arial" w:cs="Arial"/>
          <w:color w:val="000000"/>
          <w:lang w:val="uk-UA"/>
        </w:rPr>
      </w:pPr>
      <w:r w:rsidRPr="00D81B66">
        <w:rPr>
          <w:rFonts w:ascii="Arial" w:hAnsi="Arial" w:cs="Arial"/>
          <w:b/>
          <w:bCs/>
          <w:color w:val="6A2041"/>
          <w:lang w:val="uk-UA"/>
        </w:rPr>
        <w:t xml:space="preserve">4. Дотримання принципів розробки режиму лікування </w:t>
      </w:r>
      <w:r w:rsidR="00D81B66" w:rsidRPr="00D81B66">
        <w:rPr>
          <w:rFonts w:ascii="Arial" w:hAnsi="Arial" w:cs="Arial"/>
          <w:b/>
          <w:bCs/>
          <w:color w:val="6A2041"/>
          <w:lang w:val="uk-UA"/>
        </w:rPr>
        <w:t>МР</w:t>
      </w:r>
      <w:r w:rsidR="006004ED" w:rsidRPr="00D81B66">
        <w:rPr>
          <w:rFonts w:ascii="Arial" w:hAnsi="Arial" w:cs="Arial"/>
          <w:b/>
          <w:bCs/>
          <w:color w:val="6A2041"/>
          <w:lang w:val="uk-UA"/>
        </w:rPr>
        <w:t xml:space="preserve"> ТБ, рекомендованого ВООЗ</w:t>
      </w:r>
      <w:r w:rsidRPr="00262B30">
        <w:rPr>
          <w:rFonts w:ascii="Arial" w:hAnsi="Arial" w:cs="Arial"/>
          <w:b/>
          <w:bCs/>
          <w:color w:val="000000"/>
          <w:lang w:val="uk-UA"/>
        </w:rPr>
        <w:t>.</w:t>
      </w:r>
      <w:r>
        <w:rPr>
          <w:rFonts w:ascii="Arial" w:hAnsi="Arial" w:cs="Arial"/>
          <w:b/>
          <w:bCs/>
          <w:color w:val="000000"/>
          <w:lang w:val="uk-UA"/>
        </w:rPr>
        <w:t xml:space="preserve"> </w:t>
      </w:r>
    </w:p>
    <w:p w14:paraId="2C060F5C" w14:textId="35616C19" w:rsidR="00E568A1" w:rsidRDefault="00E568A1" w:rsidP="0037724F">
      <w:pPr>
        <w:autoSpaceDE w:val="0"/>
        <w:autoSpaceDN w:val="0"/>
        <w:adjustRightInd w:val="0"/>
        <w:spacing w:after="0" w:line="240" w:lineRule="auto"/>
        <w:jc w:val="both"/>
        <w:rPr>
          <w:rFonts w:ascii="Arial" w:hAnsi="Arial" w:cs="Arial"/>
          <w:color w:val="000000"/>
          <w:lang w:val="uk-UA"/>
        </w:rPr>
      </w:pPr>
      <w:r w:rsidRPr="00931527">
        <w:rPr>
          <w:rFonts w:ascii="Arial" w:hAnsi="Arial" w:cs="Arial"/>
          <w:color w:val="000000"/>
          <w:lang w:val="uk-UA"/>
        </w:rPr>
        <w:t>Оскільки залишається невизначеність стосов</w:t>
      </w:r>
      <w:r w:rsidR="00931527" w:rsidRPr="00931527">
        <w:rPr>
          <w:rFonts w:ascii="Arial" w:hAnsi="Arial" w:cs="Arial"/>
          <w:color w:val="000000"/>
          <w:lang w:val="uk-UA"/>
        </w:rPr>
        <w:t xml:space="preserve">но </w:t>
      </w:r>
      <w:r w:rsidR="00187EB7">
        <w:rPr>
          <w:rFonts w:ascii="Arial" w:hAnsi="Arial" w:cs="Arial"/>
          <w:color w:val="000000"/>
          <w:lang w:val="uk-UA"/>
        </w:rPr>
        <w:t>відповідної користі</w:t>
      </w:r>
      <w:r w:rsidR="00931527" w:rsidRPr="00931527">
        <w:rPr>
          <w:rFonts w:ascii="Arial" w:hAnsi="Arial" w:cs="Arial"/>
          <w:color w:val="000000"/>
          <w:lang w:val="uk-UA"/>
        </w:rPr>
        <w:t xml:space="preserve"> та шкоди</w:t>
      </w:r>
      <w:r w:rsidR="009E0EEB">
        <w:rPr>
          <w:rFonts w:ascii="Arial" w:hAnsi="Arial" w:cs="Arial"/>
          <w:color w:val="000000"/>
          <w:lang w:val="uk-UA"/>
        </w:rPr>
        <w:t xml:space="preserve"> від застосування</w:t>
      </w:r>
      <w:r w:rsidRPr="00931527">
        <w:rPr>
          <w:rFonts w:ascii="Arial" w:hAnsi="Arial" w:cs="Arial"/>
          <w:color w:val="000000"/>
          <w:lang w:val="uk-UA"/>
        </w:rPr>
        <w:t xml:space="preserve"> бедаквіліну, слід проявляти обережність, коли ще існують інші варіанти розробки ефективного режиму лікування </w:t>
      </w:r>
      <w:r w:rsidR="009B51D9">
        <w:rPr>
          <w:rFonts w:ascii="Arial" w:hAnsi="Arial" w:cs="Arial"/>
          <w:color w:val="000000"/>
          <w:lang w:val="uk-UA"/>
        </w:rPr>
        <w:t>МР ТБ</w:t>
      </w:r>
      <w:r w:rsidRPr="00931527">
        <w:rPr>
          <w:rFonts w:ascii="Arial" w:hAnsi="Arial" w:cs="Arial"/>
          <w:color w:val="000000"/>
          <w:lang w:val="uk-UA"/>
        </w:rPr>
        <w:t xml:space="preserve"> з </w:t>
      </w:r>
      <w:r w:rsidR="007D3500">
        <w:rPr>
          <w:rFonts w:ascii="Arial" w:hAnsi="Arial" w:cs="Arial"/>
          <w:color w:val="000000"/>
          <w:lang w:val="uk-UA"/>
        </w:rPr>
        <w:t>застосування</w:t>
      </w:r>
      <w:r w:rsidRPr="00931527">
        <w:rPr>
          <w:rFonts w:ascii="Arial" w:hAnsi="Arial" w:cs="Arial"/>
          <w:color w:val="000000"/>
          <w:lang w:val="uk-UA"/>
        </w:rPr>
        <w:t>м з</w:t>
      </w:r>
      <w:r w:rsidR="009E0EEB">
        <w:rPr>
          <w:rFonts w:ascii="Arial" w:hAnsi="Arial" w:cs="Arial"/>
          <w:color w:val="000000"/>
          <w:lang w:val="uk-UA"/>
        </w:rPr>
        <w:t>вичайних препаратів другого ряду</w:t>
      </w:r>
      <w:r w:rsidRPr="00931527">
        <w:rPr>
          <w:rFonts w:ascii="Arial" w:hAnsi="Arial" w:cs="Arial"/>
          <w:color w:val="000000"/>
          <w:lang w:val="uk-UA"/>
        </w:rPr>
        <w:t xml:space="preserve">. </w:t>
      </w:r>
      <w:r w:rsidRPr="00E60283">
        <w:rPr>
          <w:rFonts w:ascii="Arial" w:hAnsi="Arial" w:cs="Arial"/>
          <w:color w:val="000000"/>
          <w:lang w:val="uk-UA"/>
        </w:rPr>
        <w:t xml:space="preserve">Крім того, слід враховувати недоліки традиційного </w:t>
      </w:r>
      <w:r w:rsidR="009E0EEB">
        <w:rPr>
          <w:rFonts w:ascii="Arial" w:hAnsi="Arial" w:cs="Arial"/>
          <w:color w:val="000000"/>
          <w:lang w:val="uk-UA"/>
        </w:rPr>
        <w:t>ТМЧ</w:t>
      </w:r>
      <w:r w:rsidR="008F5D1E">
        <w:rPr>
          <w:rFonts w:ascii="Arial" w:hAnsi="Arial" w:cs="Arial"/>
          <w:color w:val="000000"/>
          <w:lang w:val="uk-UA"/>
        </w:rPr>
        <w:t xml:space="preserve"> </w:t>
      </w:r>
      <w:r w:rsidR="00E60283">
        <w:rPr>
          <w:rFonts w:ascii="Arial" w:hAnsi="Arial" w:cs="Arial"/>
          <w:color w:val="000000"/>
          <w:lang w:val="uk-UA"/>
        </w:rPr>
        <w:t xml:space="preserve">для  </w:t>
      </w:r>
      <w:r w:rsidRPr="00E60283">
        <w:rPr>
          <w:rFonts w:ascii="Arial" w:hAnsi="Arial" w:cs="Arial"/>
          <w:color w:val="000000"/>
          <w:lang w:val="uk-UA"/>
        </w:rPr>
        <w:t>протитуберкульозних препаратів</w:t>
      </w:r>
      <w:r w:rsidR="00E60283">
        <w:rPr>
          <w:rFonts w:ascii="Arial" w:hAnsi="Arial" w:cs="Arial"/>
          <w:color w:val="000000"/>
          <w:lang w:val="uk-UA"/>
        </w:rPr>
        <w:t xml:space="preserve"> </w:t>
      </w:r>
      <w:r w:rsidR="00144DDD">
        <w:rPr>
          <w:rFonts w:ascii="Arial" w:hAnsi="Arial" w:cs="Arial"/>
          <w:color w:val="000000"/>
          <w:lang w:val="uk-UA"/>
        </w:rPr>
        <w:t>другого ряду</w:t>
      </w:r>
      <w:r w:rsidRPr="00E60283">
        <w:rPr>
          <w:rFonts w:ascii="Arial" w:hAnsi="Arial" w:cs="Arial"/>
          <w:color w:val="000000"/>
          <w:lang w:val="uk-UA"/>
        </w:rPr>
        <w:t xml:space="preserve">: </w:t>
      </w:r>
      <w:r w:rsidR="009E0EEB">
        <w:rPr>
          <w:rFonts w:ascii="Arial" w:hAnsi="Arial" w:cs="Arial"/>
          <w:color w:val="000000"/>
          <w:lang w:val="uk-UA"/>
        </w:rPr>
        <w:t xml:space="preserve">ТМЧ </w:t>
      </w:r>
      <w:r w:rsidR="00187EB7">
        <w:rPr>
          <w:rFonts w:ascii="Arial" w:hAnsi="Arial" w:cs="Arial"/>
          <w:color w:val="000000"/>
          <w:lang w:val="uk-UA"/>
        </w:rPr>
        <w:t>до</w:t>
      </w:r>
      <w:r w:rsidR="009E0EEB">
        <w:rPr>
          <w:rFonts w:ascii="Arial" w:hAnsi="Arial" w:cs="Arial"/>
          <w:color w:val="000000"/>
          <w:lang w:val="uk-UA"/>
        </w:rPr>
        <w:t xml:space="preserve"> препаратів другого ряду </w:t>
      </w:r>
      <w:r w:rsidRPr="00E60283">
        <w:rPr>
          <w:rFonts w:ascii="Arial" w:hAnsi="Arial" w:cs="Arial"/>
          <w:color w:val="000000"/>
          <w:lang w:val="uk-UA"/>
        </w:rPr>
        <w:t>вваж</w:t>
      </w:r>
      <w:r w:rsidR="009E0EEB">
        <w:rPr>
          <w:rFonts w:ascii="Arial" w:hAnsi="Arial" w:cs="Arial"/>
          <w:color w:val="000000"/>
          <w:lang w:val="uk-UA"/>
        </w:rPr>
        <w:t xml:space="preserve">ається точним і репродуктивним </w:t>
      </w:r>
      <w:r w:rsidRPr="00E60283">
        <w:rPr>
          <w:rFonts w:ascii="Arial" w:hAnsi="Arial" w:cs="Arial"/>
          <w:color w:val="000000"/>
          <w:lang w:val="uk-UA"/>
        </w:rPr>
        <w:t>лише для фторхінолонів, аміноглікозидів (канамицин, амікацин) та капреоміцину (поліпептид).</w:t>
      </w:r>
    </w:p>
    <w:p w14:paraId="7F88113D" w14:textId="77777777" w:rsidR="00E568A1" w:rsidRPr="00EE18C6" w:rsidRDefault="00E568A1" w:rsidP="0037724F">
      <w:pPr>
        <w:autoSpaceDE w:val="0"/>
        <w:autoSpaceDN w:val="0"/>
        <w:adjustRightInd w:val="0"/>
        <w:spacing w:after="0" w:line="240" w:lineRule="auto"/>
        <w:jc w:val="both"/>
        <w:rPr>
          <w:rFonts w:ascii="Arial" w:hAnsi="Arial" w:cs="Arial"/>
          <w:color w:val="000000"/>
          <w:lang w:val="uk-UA"/>
        </w:rPr>
      </w:pPr>
    </w:p>
    <w:p w14:paraId="220A42AE" w14:textId="2196EBFC" w:rsidR="00E568A1" w:rsidRPr="00897A1E" w:rsidRDefault="00897A1E" w:rsidP="00897A1E">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а. </w:t>
      </w:r>
      <w:r w:rsidR="00E568A1" w:rsidRPr="00897A1E">
        <w:rPr>
          <w:rFonts w:ascii="Arial" w:hAnsi="Arial" w:cs="Arial"/>
          <w:color w:val="000000"/>
          <w:lang w:val="uk-UA"/>
        </w:rPr>
        <w:t xml:space="preserve">Рекомендована ВООЗ схема лікування </w:t>
      </w:r>
      <w:r w:rsidR="009B51D9" w:rsidRPr="00897A1E">
        <w:rPr>
          <w:rFonts w:ascii="Arial" w:hAnsi="Arial" w:cs="Arial"/>
          <w:color w:val="000000"/>
          <w:lang w:val="uk-UA"/>
        </w:rPr>
        <w:t>МР ТБ</w:t>
      </w:r>
      <w:r w:rsidR="00E568A1" w:rsidRPr="00897A1E">
        <w:rPr>
          <w:rFonts w:ascii="Arial" w:hAnsi="Arial" w:cs="Arial"/>
          <w:color w:val="000000"/>
          <w:lang w:val="uk-UA"/>
        </w:rPr>
        <w:t>, як правило, складається, принаймні, з піразинаміду та чотирьох лі</w:t>
      </w:r>
      <w:r w:rsidR="009E0EEB" w:rsidRPr="00897A1E">
        <w:rPr>
          <w:rFonts w:ascii="Arial" w:hAnsi="Arial" w:cs="Arial"/>
          <w:color w:val="000000"/>
          <w:lang w:val="uk-UA"/>
        </w:rPr>
        <w:t>карських препаратів другого ряду</w:t>
      </w:r>
      <w:r w:rsidR="00E568A1" w:rsidRPr="00897A1E">
        <w:rPr>
          <w:rFonts w:ascii="Arial" w:hAnsi="Arial" w:cs="Arial"/>
          <w:color w:val="000000"/>
          <w:lang w:val="uk-UA"/>
        </w:rPr>
        <w:t xml:space="preserve">, які вважаються ефективними (на підставі </w:t>
      </w:r>
      <w:r w:rsidR="009E0EEB" w:rsidRPr="00897A1E">
        <w:rPr>
          <w:rFonts w:ascii="Arial" w:hAnsi="Arial" w:cs="Arial"/>
          <w:color w:val="000000"/>
          <w:lang w:val="uk-UA"/>
        </w:rPr>
        <w:t>ТМЧ</w:t>
      </w:r>
      <w:r w:rsidR="001C0856" w:rsidRPr="00897A1E">
        <w:rPr>
          <w:rFonts w:ascii="Arial" w:hAnsi="Arial" w:cs="Arial"/>
          <w:color w:val="000000"/>
          <w:lang w:val="uk-UA"/>
        </w:rPr>
        <w:t xml:space="preserve"> та/</w:t>
      </w:r>
      <w:r w:rsidR="00E568A1" w:rsidRPr="00897A1E">
        <w:rPr>
          <w:rFonts w:ascii="Arial" w:hAnsi="Arial" w:cs="Arial"/>
          <w:color w:val="000000"/>
          <w:lang w:val="uk-UA"/>
        </w:rPr>
        <w:t>або даних стосовно попереднього застосування</w:t>
      </w:r>
      <w:r w:rsidR="009E0EEB" w:rsidRPr="00897A1E">
        <w:rPr>
          <w:rFonts w:ascii="Arial" w:hAnsi="Arial" w:cs="Arial"/>
          <w:color w:val="000000"/>
          <w:lang w:val="uk-UA"/>
        </w:rPr>
        <w:t xml:space="preserve"> та/</w:t>
      </w:r>
      <w:r w:rsidR="00E568A1" w:rsidRPr="00897A1E">
        <w:rPr>
          <w:rFonts w:ascii="Arial" w:hAnsi="Arial" w:cs="Arial"/>
          <w:color w:val="000000"/>
          <w:lang w:val="uk-UA"/>
        </w:rPr>
        <w:t>або  спостереження резистентності до ліків): фторхінолон (бажано більш пізнього покоління), і</w:t>
      </w:r>
      <w:r w:rsidR="009E0EEB" w:rsidRPr="00897A1E">
        <w:rPr>
          <w:rFonts w:ascii="Arial" w:hAnsi="Arial" w:cs="Arial"/>
          <w:color w:val="000000"/>
          <w:lang w:val="uk-UA"/>
        </w:rPr>
        <w:t>н'єкційний препарат другого ряду</w:t>
      </w:r>
      <w:r w:rsidR="00E568A1" w:rsidRPr="00897A1E">
        <w:rPr>
          <w:rFonts w:ascii="Arial" w:hAnsi="Arial" w:cs="Arial"/>
          <w:color w:val="000000"/>
          <w:lang w:val="uk-UA"/>
        </w:rPr>
        <w:t xml:space="preserve"> та два бактеріостатичні препарати, переважно протіонамід або етіонамід плюс циклосерин або р-аміносаліцилова кислота. Бедаквілін може бути призначений, якщо такий режим неможливий через:</w:t>
      </w:r>
    </w:p>
    <w:p w14:paraId="7EACC7E0" w14:textId="77777777" w:rsidR="00D0783A" w:rsidRPr="00D0783A" w:rsidRDefault="00D0783A" w:rsidP="00D0783A">
      <w:pPr>
        <w:pStyle w:val="ad"/>
        <w:autoSpaceDE w:val="0"/>
        <w:autoSpaceDN w:val="0"/>
        <w:adjustRightInd w:val="0"/>
        <w:spacing w:after="0" w:line="240" w:lineRule="auto"/>
        <w:ind w:left="1068"/>
        <w:jc w:val="both"/>
        <w:rPr>
          <w:rFonts w:ascii="Arial" w:hAnsi="Arial" w:cs="Arial"/>
          <w:color w:val="000000"/>
          <w:lang w:val="uk-UA"/>
        </w:rPr>
      </w:pPr>
    </w:p>
    <w:p w14:paraId="457CE532" w14:textId="3E40049A" w:rsidR="00E568A1" w:rsidRPr="001C54B3" w:rsidRDefault="00E568A1" w:rsidP="009B51D9">
      <w:pPr>
        <w:autoSpaceDE w:val="0"/>
        <w:autoSpaceDN w:val="0"/>
        <w:adjustRightInd w:val="0"/>
        <w:spacing w:after="0" w:line="240" w:lineRule="auto"/>
        <w:ind w:left="1416"/>
        <w:jc w:val="both"/>
        <w:outlineLvl w:val="0"/>
        <w:rPr>
          <w:rFonts w:ascii="Arial" w:hAnsi="Arial" w:cs="Arial"/>
          <w:color w:val="000000"/>
          <w:lang w:val="uk-UA"/>
        </w:rPr>
      </w:pPr>
      <w:r w:rsidRPr="001C54B3">
        <w:rPr>
          <w:rFonts w:ascii="Arial" w:hAnsi="Arial" w:cs="Arial"/>
          <w:color w:val="000000"/>
          <w:lang w:val="uk-UA"/>
        </w:rPr>
        <w:t xml:space="preserve">i) стійкість до лікарського засобу </w:t>
      </w:r>
      <w:r w:rsidRPr="009E0EEB">
        <w:rPr>
          <w:rFonts w:ascii="Arial" w:hAnsi="Arial" w:cs="Arial"/>
          <w:i/>
          <w:color w:val="000000"/>
          <w:lang w:val="uk-UA"/>
        </w:rPr>
        <w:t>in vitro</w:t>
      </w:r>
      <w:r w:rsidRPr="009E0EEB">
        <w:rPr>
          <w:rFonts w:ascii="Arial" w:hAnsi="Arial" w:cs="Arial"/>
          <w:color w:val="000000"/>
          <w:lang w:val="uk-UA"/>
        </w:rPr>
        <w:t xml:space="preserve"> </w:t>
      </w:r>
      <w:r w:rsidR="009E0EEB">
        <w:rPr>
          <w:rFonts w:ascii="Arial" w:hAnsi="Arial" w:cs="Arial"/>
          <w:color w:val="000000"/>
          <w:lang w:val="uk-UA"/>
        </w:rPr>
        <w:t>(див. б та в</w:t>
      </w:r>
      <w:r w:rsidRPr="001C54B3">
        <w:rPr>
          <w:rFonts w:ascii="Arial" w:hAnsi="Arial" w:cs="Arial"/>
          <w:color w:val="000000"/>
          <w:lang w:val="uk-UA"/>
        </w:rPr>
        <w:t xml:space="preserve"> нижче);</w:t>
      </w:r>
    </w:p>
    <w:p w14:paraId="63717CB7" w14:textId="77777777" w:rsidR="00E568A1" w:rsidRPr="001C54B3" w:rsidRDefault="00E568A1" w:rsidP="001F2BB6">
      <w:pPr>
        <w:autoSpaceDE w:val="0"/>
        <w:autoSpaceDN w:val="0"/>
        <w:adjustRightInd w:val="0"/>
        <w:spacing w:after="0" w:line="240" w:lineRule="auto"/>
        <w:ind w:left="1416"/>
        <w:jc w:val="both"/>
        <w:rPr>
          <w:rFonts w:ascii="Arial" w:hAnsi="Arial" w:cs="Arial"/>
          <w:color w:val="000000"/>
          <w:lang w:val="uk-UA"/>
        </w:rPr>
      </w:pPr>
      <w:r w:rsidRPr="001C54B3">
        <w:rPr>
          <w:rFonts w:ascii="Arial" w:hAnsi="Arial" w:cs="Arial"/>
          <w:color w:val="000000"/>
          <w:lang w:val="uk-UA"/>
        </w:rPr>
        <w:t>іі) відомі побічні реації на препарат, низька переносимість або протипоказання до будь-якого компонента комбінованої схеми; або</w:t>
      </w:r>
    </w:p>
    <w:p w14:paraId="13CA523F" w14:textId="31BBE594" w:rsidR="00E568A1" w:rsidRPr="001C54B3" w:rsidRDefault="00E568A1" w:rsidP="009B51D9">
      <w:pPr>
        <w:autoSpaceDE w:val="0"/>
        <w:autoSpaceDN w:val="0"/>
        <w:adjustRightInd w:val="0"/>
        <w:spacing w:after="0" w:line="240" w:lineRule="auto"/>
        <w:ind w:left="1416"/>
        <w:jc w:val="both"/>
        <w:outlineLvl w:val="0"/>
        <w:rPr>
          <w:rFonts w:ascii="Arial" w:hAnsi="Arial" w:cs="Arial"/>
          <w:color w:val="000000"/>
          <w:lang w:val="uk-UA"/>
        </w:rPr>
      </w:pPr>
      <w:r w:rsidRPr="001C54B3">
        <w:rPr>
          <w:rFonts w:ascii="Arial" w:hAnsi="Arial" w:cs="Arial"/>
          <w:color w:val="000000"/>
          <w:lang w:val="uk-UA"/>
        </w:rPr>
        <w:t>iii) недоступність або відс</w:t>
      </w:r>
      <w:r w:rsidR="004B5B66">
        <w:rPr>
          <w:rFonts w:ascii="Arial" w:hAnsi="Arial" w:cs="Arial"/>
          <w:color w:val="000000"/>
          <w:lang w:val="uk-UA"/>
        </w:rPr>
        <w:t xml:space="preserve">утність гарантовано якісного </w:t>
      </w:r>
      <w:r w:rsidRPr="001C54B3">
        <w:rPr>
          <w:rFonts w:ascii="Arial" w:hAnsi="Arial" w:cs="Arial"/>
          <w:color w:val="000000"/>
          <w:lang w:val="uk-UA"/>
        </w:rPr>
        <w:t>лікарського препарату.</w:t>
      </w:r>
    </w:p>
    <w:p w14:paraId="53C20597" w14:textId="77777777" w:rsidR="00E568A1" w:rsidRPr="001C54B3" w:rsidRDefault="00E568A1" w:rsidP="006D3974">
      <w:pPr>
        <w:autoSpaceDE w:val="0"/>
        <w:autoSpaceDN w:val="0"/>
        <w:adjustRightInd w:val="0"/>
        <w:spacing w:after="0" w:line="240" w:lineRule="auto"/>
        <w:ind w:left="708"/>
        <w:jc w:val="both"/>
        <w:rPr>
          <w:rFonts w:ascii="Arial" w:hAnsi="Arial" w:cs="Arial"/>
          <w:color w:val="000000"/>
        </w:rPr>
      </w:pPr>
    </w:p>
    <w:p w14:paraId="555D4F5D" w14:textId="661BD372" w:rsidR="00E568A1" w:rsidRPr="00561D7F" w:rsidRDefault="009E0EEB" w:rsidP="00897A1E">
      <w:pPr>
        <w:autoSpaceDE w:val="0"/>
        <w:autoSpaceDN w:val="0"/>
        <w:adjustRightInd w:val="0"/>
        <w:spacing w:after="0" w:line="240" w:lineRule="auto"/>
        <w:jc w:val="both"/>
        <w:rPr>
          <w:rFonts w:ascii="Arial" w:hAnsi="Arial" w:cs="Arial"/>
          <w:color w:val="000000"/>
        </w:rPr>
      </w:pPr>
      <w:r>
        <w:rPr>
          <w:rFonts w:ascii="Arial" w:hAnsi="Arial" w:cs="Arial"/>
          <w:color w:val="000000"/>
          <w:lang w:val="en-US"/>
        </w:rPr>
        <w:t>б</w:t>
      </w:r>
      <w:r w:rsidR="00E568A1" w:rsidRPr="00561D7F">
        <w:rPr>
          <w:rFonts w:ascii="Arial" w:hAnsi="Arial" w:cs="Arial"/>
          <w:color w:val="000000"/>
        </w:rPr>
        <w:t xml:space="preserve">. Пацієнти з </w:t>
      </w:r>
      <w:r w:rsidR="004B5B66">
        <w:rPr>
          <w:rFonts w:ascii="Arial" w:hAnsi="Arial" w:cs="Arial"/>
          <w:color w:val="000000"/>
        </w:rPr>
        <w:t>МР ТБ зі штам</w:t>
      </w:r>
      <w:r w:rsidR="00E568A1" w:rsidRPr="00561D7F">
        <w:rPr>
          <w:rFonts w:ascii="Arial" w:hAnsi="Arial" w:cs="Arial"/>
          <w:color w:val="000000"/>
        </w:rPr>
        <w:t>ами, стійкими до фторхінолонів а</w:t>
      </w:r>
      <w:r w:rsidR="004B5B66">
        <w:rPr>
          <w:rFonts w:ascii="Arial" w:hAnsi="Arial" w:cs="Arial"/>
          <w:color w:val="000000"/>
        </w:rPr>
        <w:t>бо ін'єкційних препаратів другого ряду (канамі</w:t>
      </w:r>
      <w:r w:rsidR="00E568A1" w:rsidRPr="00561D7F">
        <w:rPr>
          <w:rFonts w:ascii="Arial" w:hAnsi="Arial" w:cs="Arial"/>
          <w:color w:val="000000"/>
        </w:rPr>
        <w:t xml:space="preserve">цин, амікацин, капреоміцин) представляють особливу стурбованість з огляду на те, що це два найбільш ефективних класи препаратів </w:t>
      </w:r>
      <w:r w:rsidR="00F0605F">
        <w:rPr>
          <w:rFonts w:ascii="Arial" w:hAnsi="Arial" w:cs="Arial"/>
          <w:color w:val="000000"/>
        </w:rPr>
        <w:t>другого ряду</w:t>
      </w:r>
      <w:r w:rsidR="00E568A1" w:rsidRPr="00561D7F">
        <w:rPr>
          <w:rFonts w:ascii="Arial" w:hAnsi="Arial" w:cs="Arial"/>
          <w:color w:val="000000"/>
        </w:rPr>
        <w:t>. У таких випадках бедаквілін може відігравати вирішальну роль у підсиленні режиму, і може при</w:t>
      </w:r>
      <w:r w:rsidR="00554A21">
        <w:rPr>
          <w:rFonts w:ascii="Arial" w:hAnsi="Arial" w:cs="Arial"/>
          <w:color w:val="000000"/>
        </w:rPr>
        <w:t xml:space="preserve">звести до </w:t>
      </w:r>
      <w:r w:rsidR="007D3500">
        <w:rPr>
          <w:rFonts w:ascii="Arial" w:hAnsi="Arial" w:cs="Arial"/>
          <w:color w:val="000000"/>
        </w:rPr>
        <w:t>застосування</w:t>
      </w:r>
      <w:r w:rsidR="00554A21">
        <w:rPr>
          <w:rFonts w:ascii="Arial" w:hAnsi="Arial" w:cs="Arial"/>
          <w:color w:val="000000"/>
        </w:rPr>
        <w:t xml:space="preserve"> мінімум </w:t>
      </w:r>
      <w:r w:rsidR="00E568A1" w:rsidRPr="00561D7F">
        <w:rPr>
          <w:rFonts w:ascii="Arial" w:hAnsi="Arial" w:cs="Arial"/>
          <w:color w:val="000000"/>
        </w:rPr>
        <w:t>чотирьох препаратів, які</w:t>
      </w:r>
      <w:r w:rsidR="00722358">
        <w:rPr>
          <w:rFonts w:ascii="Arial" w:hAnsi="Arial" w:cs="Arial"/>
          <w:color w:val="000000"/>
          <w:lang w:val="uk-UA"/>
        </w:rPr>
        <w:t>,</w:t>
      </w:r>
      <w:r w:rsidR="00E568A1" w:rsidRPr="00561D7F">
        <w:rPr>
          <w:rFonts w:ascii="Arial" w:hAnsi="Arial" w:cs="Arial"/>
          <w:color w:val="000000"/>
        </w:rPr>
        <w:t xml:space="preserve"> ймовірно</w:t>
      </w:r>
      <w:r w:rsidR="00722358">
        <w:rPr>
          <w:rFonts w:ascii="Arial" w:hAnsi="Arial" w:cs="Arial"/>
          <w:color w:val="000000"/>
          <w:lang w:val="uk-UA"/>
        </w:rPr>
        <w:t>,</w:t>
      </w:r>
      <w:r w:rsidR="00E568A1" w:rsidRPr="00561D7F">
        <w:rPr>
          <w:rFonts w:ascii="Arial" w:hAnsi="Arial" w:cs="Arial"/>
          <w:color w:val="000000"/>
        </w:rPr>
        <w:t xml:space="preserve"> будуть ефективними, та </w:t>
      </w:r>
      <w:r w:rsidR="00554A21">
        <w:rPr>
          <w:rFonts w:ascii="Arial" w:hAnsi="Arial" w:cs="Arial"/>
          <w:color w:val="000000"/>
        </w:rPr>
        <w:t xml:space="preserve">можуть </w:t>
      </w:r>
      <w:r w:rsidR="00E568A1" w:rsidRPr="00561D7F">
        <w:rPr>
          <w:rFonts w:ascii="Arial" w:hAnsi="Arial" w:cs="Arial"/>
          <w:color w:val="000000"/>
        </w:rPr>
        <w:t>запобігти придбанню додаткової</w:t>
      </w:r>
      <w:r w:rsidR="00187EB7">
        <w:rPr>
          <w:rFonts w:ascii="Arial" w:hAnsi="Arial" w:cs="Arial"/>
          <w:color w:val="000000"/>
        </w:rPr>
        <w:t xml:space="preserve"> р</w:t>
      </w:r>
      <w:r w:rsidR="00554A21">
        <w:rPr>
          <w:rFonts w:ascii="Arial" w:hAnsi="Arial" w:cs="Arial"/>
          <w:color w:val="000000"/>
        </w:rPr>
        <w:t xml:space="preserve">езистентності та її розвитку у </w:t>
      </w:r>
      <w:r w:rsidR="00554A21">
        <w:rPr>
          <w:rFonts w:ascii="Arial" w:hAnsi="Arial" w:cs="Arial"/>
          <w:color w:val="000000"/>
          <w:lang w:val="uk-UA"/>
        </w:rPr>
        <w:t>форму</w:t>
      </w:r>
      <w:r w:rsidR="00E568A1">
        <w:rPr>
          <w:rFonts w:ascii="Arial" w:hAnsi="Arial" w:cs="Arial"/>
          <w:color w:val="000000"/>
          <w:lang w:val="uk-UA"/>
        </w:rPr>
        <w:t xml:space="preserve"> </w:t>
      </w:r>
      <w:r w:rsidR="00E568A1" w:rsidRPr="00561D7F">
        <w:rPr>
          <w:rFonts w:ascii="Arial" w:hAnsi="Arial" w:cs="Arial"/>
          <w:color w:val="000000"/>
        </w:rPr>
        <w:t xml:space="preserve">туберкульозу з широкою </w:t>
      </w:r>
      <w:r w:rsidR="00554A21">
        <w:rPr>
          <w:rFonts w:ascii="Arial" w:hAnsi="Arial" w:cs="Arial"/>
          <w:color w:val="000000"/>
        </w:rPr>
        <w:t xml:space="preserve">лікарською </w:t>
      </w:r>
      <w:r w:rsidR="00E568A1" w:rsidRPr="00561D7F">
        <w:rPr>
          <w:rFonts w:ascii="Arial" w:hAnsi="Arial" w:cs="Arial"/>
          <w:color w:val="000000"/>
        </w:rPr>
        <w:t xml:space="preserve">стійкістю </w:t>
      </w:r>
      <w:r w:rsidR="00E568A1">
        <w:rPr>
          <w:rFonts w:ascii="Arial" w:hAnsi="Arial" w:cs="Arial"/>
          <w:color w:val="000000"/>
          <w:lang w:val="uk-UA"/>
        </w:rPr>
        <w:t xml:space="preserve">до препаратів </w:t>
      </w:r>
      <w:r w:rsidR="00E568A1" w:rsidRPr="001C0856">
        <w:rPr>
          <w:rFonts w:ascii="Arial" w:hAnsi="Arial" w:cs="Arial"/>
          <w:color w:val="000000"/>
        </w:rPr>
        <w:t>(</w:t>
      </w:r>
      <w:r w:rsidR="00554A21">
        <w:rPr>
          <w:rFonts w:ascii="Arial" w:hAnsi="Arial" w:cs="Arial"/>
          <w:color w:val="000000"/>
        </w:rPr>
        <w:t xml:space="preserve">далі </w:t>
      </w:r>
      <w:r w:rsidR="003229B4">
        <w:rPr>
          <w:rFonts w:ascii="Arial" w:hAnsi="Arial" w:cs="Arial"/>
          <w:color w:val="000000"/>
        </w:rPr>
        <w:t>РР ТБ</w:t>
      </w:r>
      <w:r w:rsidR="00E568A1" w:rsidRPr="001C0856">
        <w:rPr>
          <w:rFonts w:ascii="Arial" w:hAnsi="Arial" w:cs="Arial"/>
          <w:color w:val="000000"/>
        </w:rPr>
        <w:t>).</w:t>
      </w:r>
    </w:p>
    <w:p w14:paraId="77BA96FF" w14:textId="77777777" w:rsidR="00E568A1" w:rsidRPr="00942B37" w:rsidRDefault="00E568A1" w:rsidP="001F2BB6">
      <w:pPr>
        <w:autoSpaceDE w:val="0"/>
        <w:autoSpaceDN w:val="0"/>
        <w:adjustRightInd w:val="0"/>
        <w:spacing w:after="0" w:line="240" w:lineRule="auto"/>
        <w:ind w:left="708"/>
        <w:jc w:val="both"/>
        <w:rPr>
          <w:rFonts w:ascii="Arial" w:hAnsi="Arial" w:cs="Arial"/>
          <w:color w:val="000000"/>
          <w:lang w:val="uk-UA"/>
        </w:rPr>
      </w:pPr>
    </w:p>
    <w:p w14:paraId="1B16AA68" w14:textId="77777777" w:rsidR="00897A1E" w:rsidRDefault="009E0EEB" w:rsidP="00897A1E">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в</w:t>
      </w:r>
      <w:r w:rsidR="00E568A1" w:rsidRPr="00EF7102">
        <w:rPr>
          <w:rFonts w:ascii="Arial" w:hAnsi="Arial" w:cs="Arial"/>
          <w:color w:val="000000"/>
          <w:lang w:val="uk-UA"/>
        </w:rPr>
        <w:t xml:space="preserve">. Хоча досвід </w:t>
      </w:r>
      <w:r w:rsidR="007D3500">
        <w:rPr>
          <w:rFonts w:ascii="Arial" w:hAnsi="Arial" w:cs="Arial"/>
          <w:color w:val="000000"/>
          <w:lang w:val="uk-UA"/>
        </w:rPr>
        <w:t>застосування</w:t>
      </w:r>
      <w:r w:rsidR="00E568A1" w:rsidRPr="00EF7102">
        <w:rPr>
          <w:rFonts w:ascii="Arial" w:hAnsi="Arial" w:cs="Arial"/>
          <w:color w:val="000000"/>
          <w:lang w:val="uk-UA"/>
        </w:rPr>
        <w:t xml:space="preserve"> бедаквіліну </w:t>
      </w:r>
      <w:r w:rsidR="00855675">
        <w:rPr>
          <w:rFonts w:ascii="Arial" w:hAnsi="Arial" w:cs="Arial"/>
          <w:color w:val="000000"/>
          <w:lang w:val="uk-UA"/>
        </w:rPr>
        <w:t>при лікуванні</w:t>
      </w:r>
      <w:r w:rsidR="00E568A1" w:rsidRPr="00EF7102">
        <w:rPr>
          <w:rFonts w:ascii="Arial" w:hAnsi="Arial" w:cs="Arial"/>
          <w:color w:val="000000"/>
          <w:lang w:val="uk-UA"/>
        </w:rPr>
        <w:t xml:space="preserve"> </w:t>
      </w:r>
      <w:r w:rsidR="003229B4">
        <w:rPr>
          <w:rFonts w:ascii="Arial" w:hAnsi="Arial" w:cs="Arial"/>
          <w:color w:val="000000"/>
        </w:rPr>
        <w:t>РР ТБ</w:t>
      </w:r>
      <w:r w:rsidR="001C0856" w:rsidRPr="00EF7102">
        <w:rPr>
          <w:rFonts w:ascii="Arial" w:hAnsi="Arial" w:cs="Arial"/>
          <w:color w:val="000000"/>
          <w:lang w:val="uk-UA"/>
        </w:rPr>
        <w:t xml:space="preserve"> </w:t>
      </w:r>
      <w:r w:rsidR="00E568A1" w:rsidRPr="00EF7102">
        <w:rPr>
          <w:rFonts w:ascii="Arial" w:hAnsi="Arial" w:cs="Arial"/>
          <w:color w:val="000000"/>
          <w:lang w:val="uk-UA"/>
        </w:rPr>
        <w:t>обмежений, в</w:t>
      </w:r>
      <w:r w:rsidR="007D3500">
        <w:rPr>
          <w:rFonts w:ascii="Arial" w:hAnsi="Arial" w:cs="Arial"/>
          <w:color w:val="000000"/>
          <w:lang w:val="uk-UA"/>
        </w:rPr>
        <w:t>ін може мати показання для</w:t>
      </w:r>
      <w:r w:rsidR="00E568A1" w:rsidRPr="00EF7102">
        <w:rPr>
          <w:rFonts w:ascii="Arial" w:hAnsi="Arial" w:cs="Arial"/>
          <w:color w:val="000000"/>
          <w:lang w:val="uk-UA"/>
        </w:rPr>
        <w:t xml:space="preserve"> пацієнтів </w:t>
      </w:r>
      <w:r w:rsidR="007D3500">
        <w:rPr>
          <w:rFonts w:ascii="Arial" w:hAnsi="Arial" w:cs="Arial"/>
          <w:color w:val="000000"/>
          <w:lang w:val="uk-UA"/>
        </w:rPr>
        <w:t xml:space="preserve">з </w:t>
      </w:r>
      <w:r w:rsidR="003229B4">
        <w:rPr>
          <w:rFonts w:ascii="Arial" w:hAnsi="Arial" w:cs="Arial"/>
          <w:color w:val="000000"/>
        </w:rPr>
        <w:t>РР ТБ</w:t>
      </w:r>
      <w:r w:rsidR="007D3500">
        <w:rPr>
          <w:rFonts w:ascii="Arial" w:hAnsi="Arial" w:cs="Arial"/>
          <w:color w:val="000000"/>
          <w:lang w:val="uk-UA"/>
        </w:rPr>
        <w:t>, особливо враховуючи факт існуючих</w:t>
      </w:r>
      <w:r w:rsidR="00E568A1" w:rsidRPr="00EF7102">
        <w:rPr>
          <w:rFonts w:ascii="Arial" w:hAnsi="Arial" w:cs="Arial"/>
          <w:color w:val="000000"/>
          <w:lang w:val="uk-UA"/>
        </w:rPr>
        <w:t xml:space="preserve"> обмежень при розробці ефективного режиму</w:t>
      </w:r>
      <w:r w:rsidR="007D3500">
        <w:rPr>
          <w:rFonts w:ascii="Arial" w:hAnsi="Arial" w:cs="Arial"/>
          <w:color w:val="000000"/>
          <w:lang w:val="uk-UA"/>
        </w:rPr>
        <w:t xml:space="preserve"> для таких пацтєнтів</w:t>
      </w:r>
      <w:r w:rsidR="00E568A1" w:rsidRPr="00EF7102">
        <w:rPr>
          <w:rFonts w:ascii="Arial" w:hAnsi="Arial" w:cs="Arial"/>
          <w:color w:val="000000"/>
          <w:lang w:val="uk-UA"/>
        </w:rPr>
        <w:t>. У пацієнтів, стійких до обох класів ін'єкційних препаратів,</w:t>
      </w:r>
      <w:r w:rsidR="007D3500">
        <w:rPr>
          <w:rFonts w:ascii="Arial" w:hAnsi="Arial" w:cs="Arial"/>
          <w:color w:val="000000"/>
          <w:lang w:val="uk-UA"/>
        </w:rPr>
        <w:t xml:space="preserve"> а також до фторхінолонів (наприклад,</w:t>
      </w:r>
      <w:r w:rsidR="00E568A1" w:rsidRPr="00EF7102">
        <w:rPr>
          <w:rFonts w:ascii="Arial" w:hAnsi="Arial" w:cs="Arial"/>
          <w:color w:val="000000"/>
          <w:lang w:val="uk-UA"/>
        </w:rPr>
        <w:t xml:space="preserve"> </w:t>
      </w:r>
      <w:r w:rsidR="003229B4">
        <w:rPr>
          <w:rFonts w:ascii="Arial" w:hAnsi="Arial" w:cs="Arial"/>
          <w:color w:val="000000"/>
          <w:lang w:val="uk-UA"/>
        </w:rPr>
        <w:t>РР ТБ</w:t>
      </w:r>
      <w:r w:rsidR="00E568A1" w:rsidRPr="00EF7102">
        <w:rPr>
          <w:rFonts w:ascii="Arial" w:hAnsi="Arial" w:cs="Arial"/>
          <w:color w:val="000000"/>
          <w:lang w:val="uk-UA"/>
        </w:rPr>
        <w:t xml:space="preserve">), бедаквілін може зменшити потребу включення лікарських засобів, що відносяться до </w:t>
      </w:r>
      <w:r w:rsidR="007D3500">
        <w:rPr>
          <w:rFonts w:ascii="Arial" w:hAnsi="Arial" w:cs="Arial"/>
          <w:color w:val="000000"/>
          <w:lang w:val="uk-UA"/>
        </w:rPr>
        <w:t>5 групи</w:t>
      </w:r>
      <w:r w:rsidR="00E568A1" w:rsidRPr="00EF7102">
        <w:rPr>
          <w:rFonts w:ascii="Arial" w:hAnsi="Arial" w:cs="Arial"/>
          <w:color w:val="000000"/>
          <w:lang w:val="uk-UA"/>
        </w:rPr>
        <w:t>, деякі з яких мають непереконливу анти-туберкульозну</w:t>
      </w:r>
      <w:r w:rsidR="007D3500">
        <w:rPr>
          <w:rFonts w:ascii="Arial" w:hAnsi="Arial" w:cs="Arial"/>
          <w:color w:val="000000"/>
          <w:lang w:val="uk-UA"/>
        </w:rPr>
        <w:t xml:space="preserve"> активність, високу вартість та/</w:t>
      </w:r>
      <w:r w:rsidR="00E568A1" w:rsidRPr="00EF7102">
        <w:rPr>
          <w:rFonts w:ascii="Arial" w:hAnsi="Arial" w:cs="Arial"/>
          <w:color w:val="000000"/>
          <w:lang w:val="uk-UA"/>
        </w:rPr>
        <w:t>або високу токсичність.</w:t>
      </w:r>
      <w:r w:rsidR="00E568A1" w:rsidRPr="00EF7102">
        <w:rPr>
          <w:rFonts w:ascii="Arial" w:hAnsi="Arial" w:cs="Arial"/>
          <w:color w:val="000000"/>
          <w:vertAlign w:val="superscript"/>
          <w:lang w:val="uk-UA"/>
        </w:rPr>
        <w:t>5</w:t>
      </w:r>
      <w:r w:rsidR="00E568A1" w:rsidRPr="00EF7102">
        <w:rPr>
          <w:rFonts w:ascii="Arial" w:hAnsi="Arial" w:cs="Arial"/>
          <w:color w:val="000000"/>
          <w:lang w:val="uk-UA"/>
        </w:rPr>
        <w:t xml:space="preserve"> Таким чином, бедаквілін може застосовуватися з або замість препарату групи</w:t>
      </w:r>
    </w:p>
    <w:p w14:paraId="7CD15C89" w14:textId="77777777" w:rsidR="00897A1E" w:rsidRPr="00A60AE1" w:rsidRDefault="00897A1E" w:rsidP="00897A1E">
      <w:pPr>
        <w:autoSpaceDE w:val="0"/>
        <w:autoSpaceDN w:val="0"/>
        <w:adjustRightInd w:val="0"/>
        <w:spacing w:after="0" w:line="240" w:lineRule="auto"/>
        <w:jc w:val="both"/>
        <w:rPr>
          <w:rFonts w:ascii="Arial" w:hAnsi="Arial" w:cs="Arial"/>
          <w:color w:val="000000"/>
          <w:sz w:val="24"/>
          <w:szCs w:val="24"/>
        </w:rPr>
      </w:pPr>
      <w:r w:rsidRPr="00A60AE1">
        <w:rPr>
          <w:rFonts w:ascii="Arial" w:hAnsi="Arial" w:cs="Arial"/>
          <w:color w:val="000000"/>
          <w:sz w:val="24"/>
          <w:szCs w:val="24"/>
        </w:rPr>
        <w:t>_____________________________________________</w:t>
      </w:r>
    </w:p>
    <w:p w14:paraId="06D7E25E" w14:textId="77777777" w:rsidR="00897A1E" w:rsidRPr="00AD1D15" w:rsidRDefault="00897A1E" w:rsidP="00897A1E">
      <w:pPr>
        <w:autoSpaceDE w:val="0"/>
        <w:autoSpaceDN w:val="0"/>
        <w:adjustRightInd w:val="0"/>
        <w:spacing w:after="0" w:line="240" w:lineRule="auto"/>
        <w:jc w:val="both"/>
        <w:rPr>
          <w:rFonts w:ascii="Arial" w:hAnsi="Arial" w:cs="Arial"/>
          <w:sz w:val="15"/>
          <w:szCs w:val="15"/>
          <w:lang w:val="uk-UA"/>
        </w:rPr>
      </w:pPr>
      <w:r w:rsidRPr="00AD1D15">
        <w:rPr>
          <w:rFonts w:ascii="Arial" w:hAnsi="Arial" w:cs="Arial"/>
          <w:b/>
          <w:color w:val="000000"/>
          <w:sz w:val="15"/>
          <w:szCs w:val="15"/>
          <w:vertAlign w:val="superscript"/>
        </w:rPr>
        <w:t>5</w:t>
      </w:r>
      <w:r w:rsidRPr="00AD1D15">
        <w:rPr>
          <w:rFonts w:ascii="Arial" w:hAnsi="Arial" w:cs="Arial"/>
          <w:color w:val="000000"/>
          <w:sz w:val="15"/>
          <w:szCs w:val="15"/>
        </w:rPr>
        <w:t xml:space="preserve"> </w:t>
      </w:r>
      <w:r w:rsidRPr="00AD1D15">
        <w:rPr>
          <w:rFonts w:ascii="Arial" w:hAnsi="Arial" w:cs="Arial"/>
          <w:color w:val="000000"/>
          <w:sz w:val="15"/>
          <w:szCs w:val="15"/>
          <w:lang w:val="uk-UA"/>
        </w:rPr>
        <w:t xml:space="preserve"> Препарати 5 групи належать до різних класів лікарських засобів і не рекомендуються ВООЗ для </w:t>
      </w:r>
      <w:r w:rsidRPr="00AD1D15">
        <w:rPr>
          <w:rFonts w:ascii="Arial" w:hAnsi="Arial" w:cs="Arial"/>
          <w:sz w:val="15"/>
          <w:szCs w:val="15"/>
          <w:lang w:val="uk-UA"/>
        </w:rPr>
        <w:t>звичайного застосування пацієнтами з резистентністю до ТБ-препаратів.</w:t>
      </w:r>
    </w:p>
    <w:p w14:paraId="0F3A8879" w14:textId="4F9406B0" w:rsidR="00897A1E" w:rsidRDefault="00E568A1" w:rsidP="00897A1E">
      <w:pPr>
        <w:autoSpaceDE w:val="0"/>
        <w:autoSpaceDN w:val="0"/>
        <w:adjustRightInd w:val="0"/>
        <w:spacing w:after="0" w:line="240" w:lineRule="auto"/>
        <w:jc w:val="both"/>
        <w:rPr>
          <w:rFonts w:ascii="Arial" w:hAnsi="Arial" w:cs="Arial"/>
          <w:color w:val="000000"/>
          <w:lang w:val="uk-UA"/>
        </w:rPr>
      </w:pPr>
      <w:r w:rsidRPr="00EF7102">
        <w:rPr>
          <w:rFonts w:ascii="Arial" w:hAnsi="Arial" w:cs="Arial"/>
          <w:color w:val="000000"/>
          <w:lang w:val="uk-UA"/>
        </w:rPr>
        <w:t xml:space="preserve"> </w:t>
      </w:r>
    </w:p>
    <w:p w14:paraId="2EF1FE7A" w14:textId="77777777" w:rsidR="00897A1E" w:rsidRDefault="00897A1E" w:rsidP="00897A1E">
      <w:pPr>
        <w:autoSpaceDE w:val="0"/>
        <w:autoSpaceDN w:val="0"/>
        <w:adjustRightInd w:val="0"/>
        <w:spacing w:after="0" w:line="240" w:lineRule="auto"/>
        <w:jc w:val="both"/>
        <w:rPr>
          <w:rFonts w:ascii="Arial" w:hAnsi="Arial" w:cs="Arial"/>
          <w:color w:val="000000"/>
          <w:lang w:val="uk-UA"/>
        </w:rPr>
      </w:pPr>
    </w:p>
    <w:p w14:paraId="4C3FAA46" w14:textId="53924F1D" w:rsidR="00E568A1" w:rsidRPr="00EF7102" w:rsidRDefault="00E568A1" w:rsidP="00897A1E">
      <w:pPr>
        <w:autoSpaceDE w:val="0"/>
        <w:autoSpaceDN w:val="0"/>
        <w:adjustRightInd w:val="0"/>
        <w:spacing w:after="0" w:line="240" w:lineRule="auto"/>
        <w:jc w:val="both"/>
        <w:rPr>
          <w:rFonts w:ascii="Arial" w:hAnsi="Arial" w:cs="Arial"/>
          <w:color w:val="000000"/>
          <w:lang w:val="uk-UA"/>
        </w:rPr>
      </w:pPr>
      <w:r w:rsidRPr="00EF7102">
        <w:rPr>
          <w:rFonts w:ascii="Arial" w:hAnsi="Arial" w:cs="Arial"/>
          <w:color w:val="000000"/>
          <w:lang w:val="uk-UA"/>
        </w:rPr>
        <w:t>5. У цих випадках рекомендується проявляти особливу обережність щодо потенційного збільшення побічн</w:t>
      </w:r>
      <w:r w:rsidR="007D3500">
        <w:rPr>
          <w:rFonts w:ascii="Arial" w:hAnsi="Arial" w:cs="Arial"/>
          <w:color w:val="000000"/>
          <w:lang w:val="uk-UA"/>
        </w:rPr>
        <w:t>их реакцій від препарату через потенційну загрозу</w:t>
      </w:r>
      <w:r w:rsidRPr="00EF7102">
        <w:rPr>
          <w:rFonts w:ascii="Arial" w:hAnsi="Arial" w:cs="Arial"/>
          <w:color w:val="000000"/>
          <w:lang w:val="uk-UA"/>
        </w:rPr>
        <w:t xml:space="preserve"> взаємодії лікарських препаратів, особливо можливості появи синергічн</w:t>
      </w:r>
      <w:r w:rsidR="007D3500">
        <w:rPr>
          <w:rFonts w:ascii="Arial" w:hAnsi="Arial" w:cs="Arial"/>
          <w:color w:val="000000"/>
          <w:lang w:val="uk-UA"/>
        </w:rPr>
        <w:t>ого кардіотоксичного ефекту на подовження інтервалу</w:t>
      </w:r>
      <w:r w:rsidR="007D3500" w:rsidRPr="00EF7102">
        <w:rPr>
          <w:rFonts w:ascii="Arial" w:hAnsi="Arial" w:cs="Arial"/>
          <w:color w:val="000000"/>
          <w:lang w:val="uk-UA"/>
        </w:rPr>
        <w:t xml:space="preserve"> </w:t>
      </w:r>
      <w:r w:rsidRPr="00EF7102">
        <w:rPr>
          <w:rFonts w:ascii="Arial" w:hAnsi="Arial" w:cs="Arial"/>
          <w:color w:val="000000"/>
          <w:lang w:val="uk-UA"/>
        </w:rPr>
        <w:t>QT, що вимагає ретельного ЕКГ-моніторингу.</w:t>
      </w:r>
    </w:p>
    <w:p w14:paraId="4174202A" w14:textId="77777777" w:rsidR="00E568A1" w:rsidRPr="00EF7102" w:rsidRDefault="00E568A1" w:rsidP="001F2BB6">
      <w:pPr>
        <w:autoSpaceDE w:val="0"/>
        <w:autoSpaceDN w:val="0"/>
        <w:adjustRightInd w:val="0"/>
        <w:spacing w:after="0" w:line="240" w:lineRule="auto"/>
        <w:ind w:left="708"/>
        <w:jc w:val="both"/>
        <w:rPr>
          <w:rFonts w:ascii="Arial" w:hAnsi="Arial" w:cs="Arial"/>
          <w:color w:val="000000"/>
          <w:lang w:val="uk-UA"/>
        </w:rPr>
      </w:pPr>
    </w:p>
    <w:p w14:paraId="1F02B1D8" w14:textId="5D54F271" w:rsidR="00E568A1" w:rsidRPr="00C1481C" w:rsidRDefault="009E0EEB" w:rsidP="00897A1E">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г</w:t>
      </w:r>
      <w:r w:rsidR="00055DBA">
        <w:rPr>
          <w:rFonts w:ascii="Arial" w:hAnsi="Arial" w:cs="Arial"/>
          <w:color w:val="000000"/>
          <w:lang w:val="uk-UA"/>
        </w:rPr>
        <w:t>. Згідно з загальними</w:t>
      </w:r>
      <w:r w:rsidR="00E568A1" w:rsidRPr="00C1481C">
        <w:rPr>
          <w:rFonts w:ascii="Arial" w:hAnsi="Arial" w:cs="Arial"/>
          <w:color w:val="000000"/>
          <w:lang w:val="uk-UA"/>
        </w:rPr>
        <w:t xml:space="preserve"> </w:t>
      </w:r>
      <w:r w:rsidR="001732DF">
        <w:rPr>
          <w:rFonts w:ascii="Arial" w:hAnsi="Arial" w:cs="Arial"/>
          <w:color w:val="000000"/>
          <w:lang w:val="uk-UA"/>
        </w:rPr>
        <w:t>принципа</w:t>
      </w:r>
      <w:r w:rsidR="00055DBA">
        <w:rPr>
          <w:rFonts w:ascii="Arial" w:hAnsi="Arial" w:cs="Arial"/>
          <w:color w:val="000000"/>
          <w:lang w:val="uk-UA"/>
        </w:rPr>
        <w:t>ми</w:t>
      </w:r>
      <w:r w:rsidR="002934DE">
        <w:rPr>
          <w:rFonts w:ascii="Arial" w:hAnsi="Arial" w:cs="Arial"/>
          <w:color w:val="000000"/>
          <w:lang w:val="uk-UA"/>
        </w:rPr>
        <w:t xml:space="preserve"> ТБ-</w:t>
      </w:r>
      <w:r w:rsidR="00E568A1" w:rsidRPr="00C1481C">
        <w:rPr>
          <w:rFonts w:ascii="Arial" w:hAnsi="Arial" w:cs="Arial"/>
          <w:color w:val="000000"/>
          <w:lang w:val="uk-UA"/>
        </w:rPr>
        <w:t xml:space="preserve">терапії, </w:t>
      </w:r>
      <w:r w:rsidR="00055DBA" w:rsidRPr="00C1481C">
        <w:rPr>
          <w:rFonts w:ascii="Arial" w:hAnsi="Arial" w:cs="Arial"/>
          <w:color w:val="000000"/>
          <w:lang w:val="uk-UA"/>
        </w:rPr>
        <w:t xml:space="preserve">бедаквілін </w:t>
      </w:r>
      <w:r w:rsidR="00E568A1" w:rsidRPr="00C1481C">
        <w:rPr>
          <w:rFonts w:ascii="Arial" w:hAnsi="Arial" w:cs="Arial"/>
          <w:color w:val="000000"/>
          <w:lang w:val="uk-UA"/>
        </w:rPr>
        <w:t>не слід вводити до режиму, який включає інші відомі супутні лікарські препарати або ті, які вважаються неефективними або не здатні продемонструвати ефективність. З цього випливає, що бедаквілін не слід додавати окремо до невдалого режиму, і його слід вводити задовго до того, як режим повністю перестає працювати.</w:t>
      </w:r>
    </w:p>
    <w:p w14:paraId="456D62FE" w14:textId="77777777" w:rsidR="00E568A1" w:rsidRDefault="00E568A1" w:rsidP="001F2BB6">
      <w:pPr>
        <w:autoSpaceDE w:val="0"/>
        <w:autoSpaceDN w:val="0"/>
        <w:adjustRightInd w:val="0"/>
        <w:spacing w:after="0" w:line="240" w:lineRule="auto"/>
        <w:ind w:left="708"/>
        <w:jc w:val="both"/>
        <w:rPr>
          <w:rFonts w:ascii="Arial" w:hAnsi="Arial" w:cs="Arial"/>
          <w:color w:val="000000"/>
          <w:lang w:val="uk-UA"/>
        </w:rPr>
      </w:pPr>
    </w:p>
    <w:p w14:paraId="107B749B" w14:textId="4CA11426" w:rsidR="00E568A1" w:rsidRPr="00116758" w:rsidRDefault="009E0EEB" w:rsidP="00897A1E">
      <w:pPr>
        <w:autoSpaceDE w:val="0"/>
        <w:autoSpaceDN w:val="0"/>
        <w:adjustRightInd w:val="0"/>
        <w:spacing w:after="0" w:line="240" w:lineRule="auto"/>
        <w:jc w:val="both"/>
        <w:rPr>
          <w:rFonts w:ascii="Arial" w:hAnsi="Arial" w:cs="Arial"/>
          <w:color w:val="000000"/>
        </w:rPr>
      </w:pPr>
      <w:r>
        <w:rPr>
          <w:rFonts w:ascii="Arial" w:hAnsi="Arial" w:cs="Arial"/>
          <w:color w:val="000000"/>
        </w:rPr>
        <w:t>д</w:t>
      </w:r>
      <w:r w:rsidR="00E568A1" w:rsidRPr="00116758">
        <w:rPr>
          <w:rFonts w:ascii="Arial" w:hAnsi="Arial" w:cs="Arial"/>
          <w:color w:val="000000"/>
        </w:rPr>
        <w:t>.  Бедаквілін слід застосовувати чітко до рекомендованої виробником дози, тобто 400 мг на добу протягом перших двох ти</w:t>
      </w:r>
      <w:r w:rsidR="002934DE">
        <w:rPr>
          <w:rFonts w:ascii="Arial" w:hAnsi="Arial" w:cs="Arial"/>
          <w:color w:val="000000"/>
        </w:rPr>
        <w:t>жнів, а потім по 200 мг тричі</w:t>
      </w:r>
      <w:r w:rsidR="00E568A1" w:rsidRPr="00116758">
        <w:rPr>
          <w:rFonts w:ascii="Arial" w:hAnsi="Arial" w:cs="Arial"/>
          <w:color w:val="000000"/>
        </w:rPr>
        <w:t xml:space="preserve"> на тиждень принаймні протягом 48 годин, при загальній максимальній тривалості лікування у 24 тижні. Доступні дані свідчать про те, що бедаквілін краще засвоюється при вживанні його </w:t>
      </w:r>
      <w:r w:rsidR="00E568A1" w:rsidRPr="00DD4603">
        <w:rPr>
          <w:rFonts w:ascii="Arial" w:hAnsi="Arial" w:cs="Arial"/>
          <w:color w:val="000000"/>
        </w:rPr>
        <w:t xml:space="preserve">з </w:t>
      </w:r>
      <w:r w:rsidR="00335D37" w:rsidRPr="00DD4603">
        <w:rPr>
          <w:rFonts w:ascii="Arial" w:hAnsi="Arial" w:cs="Arial"/>
          <w:color w:val="000000"/>
        </w:rPr>
        <w:t xml:space="preserve"> </w:t>
      </w:r>
      <w:r w:rsidR="00E568A1" w:rsidRPr="00DD4603">
        <w:rPr>
          <w:rFonts w:ascii="Arial" w:hAnsi="Arial" w:cs="Arial"/>
          <w:color w:val="000000"/>
        </w:rPr>
        <w:t>їжею.</w:t>
      </w:r>
    </w:p>
    <w:p w14:paraId="6B3518FA" w14:textId="77777777" w:rsidR="002934DE" w:rsidRDefault="002934DE" w:rsidP="0037724F">
      <w:pPr>
        <w:autoSpaceDE w:val="0"/>
        <w:autoSpaceDN w:val="0"/>
        <w:adjustRightInd w:val="0"/>
        <w:spacing w:after="0" w:line="240" w:lineRule="auto"/>
        <w:jc w:val="both"/>
        <w:rPr>
          <w:rFonts w:ascii="Arial" w:hAnsi="Arial" w:cs="Arial"/>
          <w:b/>
          <w:bCs/>
          <w:sz w:val="24"/>
          <w:szCs w:val="24"/>
          <w:lang w:val="uk-UA"/>
        </w:rPr>
      </w:pPr>
    </w:p>
    <w:p w14:paraId="3CFF9E58" w14:textId="0B08C5D6" w:rsidR="00E568A1" w:rsidRPr="00D81B66" w:rsidRDefault="00E568A1" w:rsidP="0037724F">
      <w:pPr>
        <w:autoSpaceDE w:val="0"/>
        <w:autoSpaceDN w:val="0"/>
        <w:adjustRightInd w:val="0"/>
        <w:spacing w:after="0" w:line="240" w:lineRule="auto"/>
        <w:jc w:val="both"/>
        <w:rPr>
          <w:rFonts w:ascii="Arial" w:hAnsi="Arial" w:cs="Arial"/>
          <w:b/>
          <w:bCs/>
          <w:color w:val="6A2041"/>
          <w:sz w:val="24"/>
          <w:szCs w:val="24"/>
          <w:lang w:val="uk-UA"/>
        </w:rPr>
      </w:pPr>
      <w:r w:rsidRPr="00D81B66">
        <w:rPr>
          <w:rFonts w:ascii="Arial" w:hAnsi="Arial" w:cs="Arial"/>
          <w:b/>
          <w:bCs/>
          <w:color w:val="6A2041"/>
          <w:sz w:val="24"/>
          <w:szCs w:val="24"/>
        </w:rPr>
        <w:t xml:space="preserve">5. Фармакологічний нагляд та </w:t>
      </w:r>
      <w:r w:rsidR="00D81B66">
        <w:rPr>
          <w:rFonts w:ascii="Arial" w:hAnsi="Arial" w:cs="Arial"/>
          <w:b/>
          <w:bCs/>
          <w:color w:val="6A2041"/>
          <w:sz w:val="24"/>
          <w:szCs w:val="24"/>
        </w:rPr>
        <w:t>забезпечення належного</w:t>
      </w:r>
      <w:r w:rsidRPr="00D81B66">
        <w:rPr>
          <w:rFonts w:ascii="Arial" w:hAnsi="Arial" w:cs="Arial"/>
          <w:b/>
          <w:bCs/>
          <w:color w:val="6A2041"/>
          <w:sz w:val="24"/>
          <w:szCs w:val="24"/>
        </w:rPr>
        <w:t xml:space="preserve"> лікування</w:t>
      </w:r>
      <w:r w:rsidR="00D81B66">
        <w:rPr>
          <w:rFonts w:ascii="Arial" w:hAnsi="Arial" w:cs="Arial"/>
          <w:b/>
          <w:bCs/>
          <w:color w:val="6A2041"/>
          <w:sz w:val="24"/>
          <w:szCs w:val="24"/>
        </w:rPr>
        <w:t xml:space="preserve"> побічних реакцій на препарат</w:t>
      </w:r>
      <w:r w:rsidRPr="00D81B66">
        <w:rPr>
          <w:rFonts w:ascii="Arial" w:hAnsi="Arial" w:cs="Arial"/>
          <w:b/>
          <w:bCs/>
          <w:color w:val="6A2041"/>
          <w:sz w:val="24"/>
          <w:szCs w:val="24"/>
        </w:rPr>
        <w:t xml:space="preserve"> та запобігання взаємодії лікарських засобів.</w:t>
      </w:r>
    </w:p>
    <w:p w14:paraId="356A6FCF" w14:textId="77777777" w:rsidR="00E568A1" w:rsidRPr="005B505F" w:rsidRDefault="00E568A1" w:rsidP="0037724F">
      <w:pPr>
        <w:autoSpaceDE w:val="0"/>
        <w:autoSpaceDN w:val="0"/>
        <w:adjustRightInd w:val="0"/>
        <w:spacing w:after="0" w:line="240" w:lineRule="auto"/>
        <w:jc w:val="both"/>
        <w:rPr>
          <w:rFonts w:ascii="Arial" w:hAnsi="Arial" w:cs="Arial"/>
          <w:b/>
          <w:bCs/>
          <w:color w:val="000000"/>
          <w:sz w:val="24"/>
          <w:szCs w:val="24"/>
          <w:lang w:val="uk-UA"/>
        </w:rPr>
      </w:pPr>
    </w:p>
    <w:p w14:paraId="08B37BA5" w14:textId="429A97E7" w:rsidR="00DE508E" w:rsidRPr="00DD560E" w:rsidRDefault="00E568A1" w:rsidP="00DD560E">
      <w:pPr>
        <w:pStyle w:val="ListParagraph1"/>
        <w:numPr>
          <w:ilvl w:val="0"/>
          <w:numId w:val="1"/>
        </w:numPr>
        <w:autoSpaceDE w:val="0"/>
        <w:autoSpaceDN w:val="0"/>
        <w:adjustRightInd w:val="0"/>
        <w:spacing w:after="0" w:line="240" w:lineRule="auto"/>
        <w:jc w:val="both"/>
        <w:rPr>
          <w:rFonts w:ascii="Arial" w:hAnsi="Arial" w:cs="Arial"/>
          <w:color w:val="000000"/>
        </w:rPr>
      </w:pPr>
      <w:r w:rsidRPr="00A60D1B">
        <w:rPr>
          <w:rFonts w:ascii="Arial" w:hAnsi="Arial" w:cs="Arial"/>
          <w:color w:val="000000"/>
          <w:lang w:val="uk-UA"/>
        </w:rPr>
        <w:t>Необхідно запровадити спеці</w:t>
      </w:r>
      <w:r w:rsidR="00AD1D15">
        <w:rPr>
          <w:rFonts w:ascii="Arial" w:hAnsi="Arial" w:cs="Arial"/>
          <w:color w:val="000000"/>
          <w:lang w:val="uk-UA"/>
        </w:rPr>
        <w:t>альні заходи з метою забезпечення раннього виявлення та своєчасного</w:t>
      </w:r>
      <w:r w:rsidRPr="00A60D1B">
        <w:rPr>
          <w:rFonts w:ascii="Arial" w:hAnsi="Arial" w:cs="Arial"/>
          <w:color w:val="000000"/>
          <w:lang w:val="uk-UA"/>
        </w:rPr>
        <w:t xml:space="preserve"> пові</w:t>
      </w:r>
      <w:r w:rsidR="00DD4603">
        <w:rPr>
          <w:rFonts w:ascii="Arial" w:hAnsi="Arial" w:cs="Arial"/>
          <w:color w:val="000000"/>
          <w:lang w:val="uk-UA"/>
        </w:rPr>
        <w:t>домлення про побічні реакції</w:t>
      </w:r>
      <w:r w:rsidRPr="00A60D1B">
        <w:rPr>
          <w:rFonts w:ascii="Arial" w:hAnsi="Arial" w:cs="Arial"/>
          <w:color w:val="000000"/>
          <w:lang w:val="uk-UA"/>
        </w:rPr>
        <w:t>, використовуючи методи</w:t>
      </w:r>
      <w:r w:rsidR="00DD4603">
        <w:rPr>
          <w:rFonts w:ascii="Arial" w:hAnsi="Arial" w:cs="Arial"/>
          <w:color w:val="000000"/>
          <w:lang w:val="uk-UA"/>
        </w:rPr>
        <w:t xml:space="preserve"> активного фармаконагляду, такі</w:t>
      </w:r>
      <w:r w:rsidRPr="00A60D1B">
        <w:rPr>
          <w:rFonts w:ascii="Arial" w:hAnsi="Arial" w:cs="Arial"/>
          <w:color w:val="000000"/>
          <w:lang w:val="uk-UA"/>
        </w:rPr>
        <w:t xml:space="preserve"> я</w:t>
      </w:r>
      <w:r w:rsidR="00DD4603">
        <w:rPr>
          <w:rFonts w:ascii="Arial" w:hAnsi="Arial" w:cs="Arial"/>
          <w:color w:val="000000"/>
          <w:lang w:val="uk-UA"/>
        </w:rPr>
        <w:t>к "моніторинг</w:t>
      </w:r>
      <w:r w:rsidR="00DD4603" w:rsidRPr="00DD4603">
        <w:rPr>
          <w:rFonts w:ascii="Arial" w:hAnsi="Arial" w:cs="Arial"/>
          <w:color w:val="000000"/>
          <w:lang w:val="uk-UA"/>
        </w:rPr>
        <w:t xml:space="preserve"> </w:t>
      </w:r>
      <w:r w:rsidR="00DD4603">
        <w:rPr>
          <w:rFonts w:ascii="Arial" w:hAnsi="Arial" w:cs="Arial"/>
          <w:color w:val="000000"/>
          <w:lang w:val="uk-UA"/>
        </w:rPr>
        <w:t>побічних реакцій під час когортного дослідження</w:t>
      </w:r>
      <w:r w:rsidRPr="00A60D1B">
        <w:rPr>
          <w:rFonts w:ascii="Arial" w:hAnsi="Arial" w:cs="Arial"/>
          <w:color w:val="000000"/>
          <w:lang w:val="uk-UA"/>
        </w:rPr>
        <w:t xml:space="preserve">". </w:t>
      </w:r>
      <w:r w:rsidRPr="00A60AE1">
        <w:rPr>
          <w:rFonts w:ascii="Arial" w:hAnsi="Arial" w:cs="Arial"/>
          <w:color w:val="000000"/>
          <w:lang w:val="uk-UA"/>
        </w:rPr>
        <w:t>Слід також інформувати національний центр з питань фармакологічного нагляду про будь-яку побічну реакцію, пов'язану з бедаквіліном</w:t>
      </w:r>
      <w:r w:rsidR="002934DE">
        <w:rPr>
          <w:rFonts w:ascii="Arial" w:hAnsi="Arial" w:cs="Arial"/>
          <w:color w:val="000000"/>
          <w:lang w:val="uk-UA"/>
        </w:rPr>
        <w:t>, в рамках механізму спонтанної</w:t>
      </w:r>
      <w:r w:rsidRPr="00A60AE1">
        <w:rPr>
          <w:rFonts w:ascii="Arial" w:hAnsi="Arial" w:cs="Arial"/>
          <w:color w:val="000000"/>
          <w:lang w:val="uk-UA"/>
        </w:rPr>
        <w:t xml:space="preserve"> звітності на рівні країни. Що стосується будь-якого іншого препарату, включеного до режиму </w:t>
      </w:r>
      <w:r w:rsidR="00DD4603" w:rsidRPr="00A60AE1">
        <w:rPr>
          <w:rFonts w:ascii="Arial" w:hAnsi="Arial" w:cs="Arial"/>
          <w:color w:val="000000"/>
          <w:lang w:val="uk-UA"/>
        </w:rPr>
        <w:t>лікування</w:t>
      </w:r>
      <w:r w:rsidR="00DD4603">
        <w:rPr>
          <w:rFonts w:ascii="Arial" w:hAnsi="Arial" w:cs="Arial"/>
          <w:color w:val="000000"/>
          <w:lang w:val="uk-UA"/>
        </w:rPr>
        <w:t xml:space="preserve"> </w:t>
      </w:r>
      <w:r w:rsidR="009B51D9">
        <w:rPr>
          <w:rFonts w:ascii="Arial" w:hAnsi="Arial" w:cs="Arial"/>
          <w:color w:val="000000"/>
          <w:lang w:val="uk-UA"/>
        </w:rPr>
        <w:t>МР ТБ</w:t>
      </w:r>
      <w:r w:rsidRPr="00A60AE1">
        <w:rPr>
          <w:rFonts w:ascii="Arial" w:hAnsi="Arial" w:cs="Arial"/>
          <w:color w:val="000000"/>
          <w:lang w:val="uk-UA"/>
        </w:rPr>
        <w:t xml:space="preserve">, </w:t>
      </w:r>
      <w:r w:rsidR="00DD4603" w:rsidRPr="00A60AE1">
        <w:rPr>
          <w:rFonts w:ascii="Arial" w:hAnsi="Arial" w:cs="Arial"/>
          <w:color w:val="000000"/>
          <w:lang w:val="uk-UA"/>
        </w:rPr>
        <w:t>слід</w:t>
      </w:r>
      <w:r w:rsidR="00DD4603">
        <w:rPr>
          <w:rFonts w:ascii="Arial" w:hAnsi="Arial" w:cs="Arial"/>
          <w:color w:val="000000"/>
          <w:lang w:val="uk-UA"/>
        </w:rPr>
        <w:t xml:space="preserve"> </w:t>
      </w:r>
      <w:r w:rsidR="00DD4603" w:rsidRPr="00A60AE1">
        <w:rPr>
          <w:rFonts w:ascii="Arial" w:hAnsi="Arial" w:cs="Arial"/>
          <w:color w:val="000000"/>
          <w:lang w:val="uk-UA"/>
        </w:rPr>
        <w:t>заохочувати</w:t>
      </w:r>
      <w:r w:rsidR="00DD4603">
        <w:rPr>
          <w:rFonts w:ascii="Arial" w:hAnsi="Arial" w:cs="Arial"/>
          <w:color w:val="000000"/>
          <w:lang w:val="uk-UA"/>
        </w:rPr>
        <w:t xml:space="preserve"> пацієнта інформувати </w:t>
      </w:r>
      <w:r w:rsidRPr="00A60AE1">
        <w:rPr>
          <w:rFonts w:ascii="Arial" w:hAnsi="Arial" w:cs="Arial"/>
          <w:color w:val="000000"/>
          <w:lang w:val="uk-UA"/>
        </w:rPr>
        <w:t xml:space="preserve">медичного працівника під час його візиту про будь-який </w:t>
      </w:r>
      <w:r w:rsidR="00DD4603">
        <w:rPr>
          <w:rFonts w:ascii="Arial" w:hAnsi="Arial" w:cs="Arial"/>
          <w:color w:val="000000"/>
          <w:lang w:val="uk-UA"/>
        </w:rPr>
        <w:t>випадок побічної реакції</w:t>
      </w:r>
      <w:r w:rsidRPr="00A60AE1">
        <w:rPr>
          <w:rFonts w:ascii="Arial" w:hAnsi="Arial" w:cs="Arial"/>
          <w:color w:val="000000"/>
          <w:lang w:val="uk-UA"/>
        </w:rPr>
        <w:t xml:space="preserve">, </w:t>
      </w:r>
      <w:r w:rsidR="002934DE">
        <w:rPr>
          <w:rFonts w:ascii="Arial" w:hAnsi="Arial" w:cs="Arial"/>
          <w:color w:val="000000"/>
          <w:lang w:val="uk-UA"/>
        </w:rPr>
        <w:t>який виникає під час прийому пре</w:t>
      </w:r>
      <w:r w:rsidRPr="00A60AE1">
        <w:rPr>
          <w:rFonts w:ascii="Arial" w:hAnsi="Arial" w:cs="Arial"/>
          <w:color w:val="000000"/>
          <w:lang w:val="uk-UA"/>
        </w:rPr>
        <w:t>пар</w:t>
      </w:r>
      <w:r w:rsidR="002934DE">
        <w:rPr>
          <w:rFonts w:ascii="Arial" w:hAnsi="Arial" w:cs="Arial"/>
          <w:color w:val="000000"/>
          <w:lang w:val="uk-UA"/>
        </w:rPr>
        <w:t>ату</w:t>
      </w:r>
      <w:r w:rsidRPr="00A60AE1">
        <w:rPr>
          <w:rFonts w:ascii="Arial" w:hAnsi="Arial" w:cs="Arial"/>
          <w:color w:val="000000"/>
          <w:lang w:val="uk-UA"/>
        </w:rPr>
        <w:t xml:space="preserve">. </w:t>
      </w:r>
      <w:r w:rsidR="00DD4603">
        <w:rPr>
          <w:rFonts w:ascii="Arial" w:hAnsi="Arial" w:cs="Arial"/>
          <w:color w:val="000000"/>
          <w:lang w:val="uk-UA"/>
        </w:rPr>
        <w:t xml:space="preserve">На </w:t>
      </w:r>
      <w:r w:rsidR="00DD4603">
        <w:rPr>
          <w:rFonts w:ascii="Arial" w:hAnsi="Arial" w:cs="Arial"/>
          <w:color w:val="000000"/>
        </w:rPr>
        <w:t>т</w:t>
      </w:r>
      <w:r w:rsidR="00DD4603" w:rsidRPr="00A60D1B">
        <w:rPr>
          <w:rFonts w:ascii="Arial" w:hAnsi="Arial" w:cs="Arial"/>
          <w:color w:val="000000"/>
        </w:rPr>
        <w:t xml:space="preserve">акі випадки </w:t>
      </w:r>
      <w:r w:rsidR="00DD4603">
        <w:rPr>
          <w:rFonts w:ascii="Arial" w:hAnsi="Arial" w:cs="Arial"/>
          <w:color w:val="000000"/>
        </w:rPr>
        <w:t>слід реагувати швидко та повинен бути відпрацьований механізм їх лікування.</w:t>
      </w:r>
    </w:p>
    <w:p w14:paraId="689B2375" w14:textId="77777777" w:rsidR="00DE508E" w:rsidRPr="00A60D1B" w:rsidRDefault="00DE508E" w:rsidP="00A60D1B">
      <w:pPr>
        <w:pStyle w:val="ListParagraph1"/>
        <w:autoSpaceDE w:val="0"/>
        <w:autoSpaceDN w:val="0"/>
        <w:adjustRightInd w:val="0"/>
        <w:spacing w:after="0" w:line="240" w:lineRule="auto"/>
        <w:ind w:left="708"/>
        <w:jc w:val="both"/>
        <w:rPr>
          <w:rFonts w:ascii="Arial" w:hAnsi="Arial" w:cs="Arial"/>
          <w:color w:val="000000"/>
          <w:lang w:val="uk-UA"/>
        </w:rPr>
      </w:pPr>
    </w:p>
    <w:p w14:paraId="22AC3A63" w14:textId="52E468BB" w:rsidR="00E568A1" w:rsidRPr="00713994" w:rsidRDefault="00DD560E" w:rsidP="00C75DA3">
      <w:pPr>
        <w:pStyle w:val="ListParagraph1"/>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lang w:val="uk-UA"/>
        </w:rPr>
        <w:t xml:space="preserve">б. </w:t>
      </w:r>
      <w:r w:rsidR="009C53BA">
        <w:rPr>
          <w:rFonts w:ascii="Arial" w:hAnsi="Arial" w:cs="Arial"/>
          <w:color w:val="000000"/>
          <w:lang w:val="uk-UA"/>
        </w:rPr>
        <w:t>Коли бедаквілін</w:t>
      </w:r>
      <w:r w:rsidR="00E568A1" w:rsidRPr="00713994">
        <w:rPr>
          <w:rFonts w:ascii="Arial" w:hAnsi="Arial" w:cs="Arial"/>
          <w:color w:val="000000"/>
          <w:lang w:val="uk-UA"/>
        </w:rPr>
        <w:t xml:space="preserve"> </w:t>
      </w:r>
      <w:r w:rsidR="009C53BA" w:rsidRPr="00713994">
        <w:rPr>
          <w:rFonts w:ascii="Arial" w:hAnsi="Arial" w:cs="Arial"/>
          <w:color w:val="000000"/>
          <w:lang w:val="uk-UA"/>
        </w:rPr>
        <w:t>в</w:t>
      </w:r>
      <w:r w:rsidR="009C53BA">
        <w:rPr>
          <w:rFonts w:ascii="Arial" w:hAnsi="Arial" w:cs="Arial"/>
          <w:color w:val="000000"/>
          <w:lang w:val="uk-UA"/>
        </w:rPr>
        <w:t>водиться</w:t>
      </w:r>
      <w:r w:rsidR="009C53BA" w:rsidRPr="00713994">
        <w:rPr>
          <w:rFonts w:ascii="Arial" w:hAnsi="Arial" w:cs="Arial"/>
          <w:color w:val="000000"/>
          <w:lang w:val="uk-UA"/>
        </w:rPr>
        <w:t xml:space="preserve"> </w:t>
      </w:r>
      <w:r w:rsidR="009C53BA">
        <w:rPr>
          <w:rFonts w:ascii="Arial" w:hAnsi="Arial" w:cs="Arial"/>
          <w:color w:val="000000"/>
          <w:lang w:val="uk-UA"/>
        </w:rPr>
        <w:t xml:space="preserve">у режим лікування, існує можливість </w:t>
      </w:r>
      <w:r w:rsidR="00E568A1" w:rsidRPr="00713994">
        <w:rPr>
          <w:rFonts w:ascii="Arial" w:hAnsi="Arial" w:cs="Arial"/>
          <w:color w:val="000000"/>
          <w:lang w:val="uk-UA"/>
        </w:rPr>
        <w:t>його взаємодії з іншими препаратам</w:t>
      </w:r>
      <w:r w:rsidR="009C53BA">
        <w:rPr>
          <w:rFonts w:ascii="Arial" w:hAnsi="Arial" w:cs="Arial"/>
          <w:color w:val="000000"/>
          <w:lang w:val="uk-UA"/>
        </w:rPr>
        <w:t>и, що приймаються одночасно, і що може призвести до адитивних або  синергічних побічних реакцій</w:t>
      </w:r>
      <w:r w:rsidR="00E568A1" w:rsidRPr="00713994">
        <w:rPr>
          <w:rFonts w:ascii="Arial" w:hAnsi="Arial" w:cs="Arial"/>
          <w:color w:val="000000"/>
          <w:lang w:val="uk-UA"/>
        </w:rPr>
        <w:t xml:space="preserve">. Інші препарати </w:t>
      </w:r>
      <w:r w:rsidR="00F0605F">
        <w:rPr>
          <w:rFonts w:ascii="Arial" w:hAnsi="Arial" w:cs="Arial"/>
          <w:color w:val="000000"/>
          <w:lang w:val="uk-UA"/>
        </w:rPr>
        <w:t>другого ряду</w:t>
      </w:r>
      <w:r w:rsidR="009C53BA">
        <w:rPr>
          <w:rFonts w:ascii="Arial" w:hAnsi="Arial" w:cs="Arial"/>
          <w:color w:val="000000"/>
          <w:lang w:val="uk-UA"/>
        </w:rPr>
        <w:t xml:space="preserve">, які, скоріш за все, приймаються </w:t>
      </w:r>
      <w:r w:rsidR="00E568A1" w:rsidRPr="00713994">
        <w:rPr>
          <w:rFonts w:ascii="Arial" w:hAnsi="Arial" w:cs="Arial"/>
          <w:color w:val="000000"/>
          <w:lang w:val="uk-UA"/>
        </w:rPr>
        <w:t xml:space="preserve">з бедаквіліном, особливо клофазимін та моксифлоксацин, можуть збільшити ризик кардіотоксичності. Таким чином, якщо лікарський засіб включають до схеми лікування </w:t>
      </w:r>
      <w:r w:rsidR="009B51D9">
        <w:rPr>
          <w:rFonts w:ascii="Arial" w:hAnsi="Arial" w:cs="Arial"/>
          <w:color w:val="000000"/>
          <w:lang w:val="uk-UA"/>
        </w:rPr>
        <w:t>МР ТБ</w:t>
      </w:r>
      <w:r w:rsidR="009C53BA">
        <w:rPr>
          <w:rFonts w:ascii="Arial" w:hAnsi="Arial" w:cs="Arial"/>
          <w:color w:val="000000"/>
          <w:lang w:val="uk-UA"/>
        </w:rPr>
        <w:t>, потрібно обов'язково здійснювати</w:t>
      </w:r>
      <w:r w:rsidR="00E568A1" w:rsidRPr="00713994">
        <w:rPr>
          <w:rFonts w:ascii="Arial" w:hAnsi="Arial" w:cs="Arial"/>
          <w:color w:val="000000"/>
          <w:lang w:val="uk-UA"/>
        </w:rPr>
        <w:t xml:space="preserve"> моніторинг па</w:t>
      </w:r>
      <w:r w:rsidR="009C53BA">
        <w:rPr>
          <w:rFonts w:ascii="Arial" w:hAnsi="Arial" w:cs="Arial"/>
          <w:color w:val="000000"/>
          <w:lang w:val="uk-UA"/>
        </w:rPr>
        <w:t xml:space="preserve">цієнтів з серцевою аритмією або подовженням інтервалу </w:t>
      </w:r>
      <w:r w:rsidR="00E568A1" w:rsidRPr="00D66173">
        <w:rPr>
          <w:rFonts w:ascii="Arial" w:hAnsi="Arial" w:cs="Arial"/>
          <w:color w:val="000000"/>
          <w:lang w:val="en-US"/>
        </w:rPr>
        <w:t>QT</w:t>
      </w:r>
      <w:r w:rsidR="009C53BA">
        <w:rPr>
          <w:rFonts w:ascii="Arial" w:hAnsi="Arial" w:cs="Arial"/>
          <w:color w:val="000000"/>
          <w:lang w:val="uk-UA"/>
        </w:rPr>
        <w:t xml:space="preserve"> (тобто</w:t>
      </w:r>
      <w:r w:rsidR="00E568A1" w:rsidRPr="00713994">
        <w:rPr>
          <w:rFonts w:ascii="Arial" w:hAnsi="Arial" w:cs="Arial"/>
          <w:color w:val="000000"/>
          <w:lang w:val="uk-UA"/>
        </w:rPr>
        <w:t xml:space="preserve"> ЕКГ), дисфункцією печінки, порушеннями </w:t>
      </w:r>
      <w:r w:rsidR="009C53BA">
        <w:rPr>
          <w:rFonts w:ascii="Arial" w:hAnsi="Arial" w:cs="Arial"/>
          <w:color w:val="000000"/>
          <w:lang w:val="uk-UA"/>
        </w:rPr>
        <w:t>функції нирок та іншими раекціями</w:t>
      </w:r>
      <w:r w:rsidR="00E568A1" w:rsidRPr="00713994">
        <w:rPr>
          <w:rFonts w:ascii="Arial" w:hAnsi="Arial" w:cs="Arial"/>
          <w:color w:val="000000"/>
          <w:lang w:val="uk-UA"/>
        </w:rPr>
        <w:t>, як це зазначаено в стислому описі-інструкції, що міститься в упаковці лікарського засобу.</w:t>
      </w:r>
    </w:p>
    <w:p w14:paraId="4448BD9C" w14:textId="77777777" w:rsidR="00E568A1" w:rsidRPr="00D66173" w:rsidRDefault="00E568A1" w:rsidP="00C75DA3">
      <w:pPr>
        <w:pStyle w:val="ListParagraph1"/>
        <w:autoSpaceDE w:val="0"/>
        <w:autoSpaceDN w:val="0"/>
        <w:adjustRightInd w:val="0"/>
        <w:spacing w:after="0" w:line="240" w:lineRule="auto"/>
        <w:ind w:left="1056"/>
        <w:jc w:val="both"/>
        <w:rPr>
          <w:rFonts w:ascii="Arial" w:hAnsi="Arial" w:cs="Arial"/>
          <w:color w:val="000000"/>
          <w:lang w:val="uk-UA"/>
        </w:rPr>
      </w:pPr>
    </w:p>
    <w:p w14:paraId="44AE0262" w14:textId="1C9B70A3" w:rsidR="00DD560E" w:rsidRDefault="00DD560E" w:rsidP="00C75DA3">
      <w:pPr>
        <w:pStyle w:val="ListParagraph1"/>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lang w:val="uk-UA"/>
        </w:rPr>
        <w:t xml:space="preserve">в. </w:t>
      </w:r>
      <w:r w:rsidR="00E568A1" w:rsidRPr="004A3F0F">
        <w:rPr>
          <w:rFonts w:ascii="Arial" w:hAnsi="Arial" w:cs="Arial"/>
          <w:color w:val="000000"/>
          <w:lang w:val="uk-UA"/>
        </w:rPr>
        <w:t>Слід проявляти обережність при введенні бедаквіліну разом з супутніми лікарськими засобами, які можуть пригнічуват</w:t>
      </w:r>
      <w:r w:rsidR="009C53BA">
        <w:rPr>
          <w:rFonts w:ascii="Arial" w:hAnsi="Arial" w:cs="Arial"/>
          <w:color w:val="000000"/>
          <w:lang w:val="uk-UA"/>
        </w:rPr>
        <w:t>и функцію печінки (наприклад, вплив</w:t>
      </w:r>
      <w:r w:rsidR="004A3F0F" w:rsidRPr="004A3F0F">
        <w:rPr>
          <w:rFonts w:ascii="Arial" w:hAnsi="Arial" w:cs="Arial"/>
          <w:color w:val="000000"/>
          <w:lang w:val="uk-UA"/>
        </w:rPr>
        <w:t xml:space="preserve"> кетоконазолу або лопінавіру</w:t>
      </w:r>
      <w:r w:rsidR="004A3F0F">
        <w:rPr>
          <w:rFonts w:ascii="Arial" w:hAnsi="Arial" w:cs="Arial"/>
          <w:color w:val="000000"/>
          <w:lang w:val="uk-UA"/>
        </w:rPr>
        <w:t>/</w:t>
      </w:r>
      <w:r w:rsidR="00E568A1" w:rsidRPr="004A3F0F">
        <w:rPr>
          <w:rFonts w:ascii="Arial" w:hAnsi="Arial" w:cs="Arial"/>
          <w:color w:val="000000"/>
          <w:lang w:val="uk-UA"/>
        </w:rPr>
        <w:t xml:space="preserve">ритонавіру на фермент </w:t>
      </w:r>
      <w:r w:rsidR="00E568A1" w:rsidRPr="001818B9">
        <w:rPr>
          <w:rFonts w:ascii="Arial" w:hAnsi="Arial" w:cs="Arial"/>
          <w:color w:val="000000"/>
          <w:lang w:val="en-US"/>
        </w:rPr>
        <w:t>CYP</w:t>
      </w:r>
      <w:r w:rsidR="00E568A1" w:rsidRPr="004A3F0F">
        <w:rPr>
          <w:rFonts w:ascii="Arial" w:hAnsi="Arial" w:cs="Arial"/>
          <w:color w:val="000000"/>
          <w:lang w:val="uk-UA"/>
        </w:rPr>
        <w:t>3</w:t>
      </w:r>
      <w:r w:rsidR="00E568A1" w:rsidRPr="001818B9">
        <w:rPr>
          <w:rFonts w:ascii="Arial" w:hAnsi="Arial" w:cs="Arial"/>
          <w:color w:val="000000"/>
          <w:lang w:val="en-US"/>
        </w:rPr>
        <w:t>A</w:t>
      </w:r>
      <w:r w:rsidR="00E568A1" w:rsidRPr="004A3F0F">
        <w:rPr>
          <w:rFonts w:ascii="Arial" w:hAnsi="Arial" w:cs="Arial"/>
          <w:color w:val="000000"/>
          <w:lang w:val="uk-UA"/>
        </w:rPr>
        <w:t>4), оскільки це може збільшити концентрацію бедакв</w:t>
      </w:r>
      <w:r w:rsidR="009C53BA">
        <w:rPr>
          <w:rFonts w:ascii="Arial" w:hAnsi="Arial" w:cs="Arial"/>
          <w:color w:val="000000"/>
          <w:lang w:val="uk-UA"/>
        </w:rPr>
        <w:t>іліну, що спричинить</w:t>
      </w:r>
      <w:r w:rsidR="004A3F0F">
        <w:rPr>
          <w:rFonts w:ascii="Arial" w:hAnsi="Arial" w:cs="Arial"/>
          <w:color w:val="000000"/>
          <w:lang w:val="uk-UA"/>
        </w:rPr>
        <w:t xml:space="preserve"> токсичність;</w:t>
      </w:r>
      <w:r w:rsidR="00E568A1" w:rsidRPr="004A3F0F">
        <w:rPr>
          <w:rFonts w:ascii="Arial" w:hAnsi="Arial" w:cs="Arial"/>
          <w:color w:val="000000"/>
          <w:lang w:val="uk-UA"/>
        </w:rPr>
        <w:t xml:space="preserve"> або із супутніми препаратами, які можуть стимулювати ф</w:t>
      </w:r>
      <w:r w:rsidR="009C53BA">
        <w:rPr>
          <w:rFonts w:ascii="Arial" w:hAnsi="Arial" w:cs="Arial"/>
          <w:color w:val="000000"/>
          <w:lang w:val="uk-UA"/>
        </w:rPr>
        <w:t>ункцію печінки (наприклад, вплив</w:t>
      </w:r>
      <w:r w:rsidR="00E568A1" w:rsidRPr="004A3F0F">
        <w:rPr>
          <w:rFonts w:ascii="Arial" w:hAnsi="Arial" w:cs="Arial"/>
          <w:color w:val="000000"/>
          <w:lang w:val="uk-UA"/>
        </w:rPr>
        <w:t xml:space="preserve"> рифампіцину на фермент </w:t>
      </w:r>
      <w:r w:rsidR="00E568A1" w:rsidRPr="001818B9">
        <w:rPr>
          <w:rFonts w:ascii="Arial" w:hAnsi="Arial" w:cs="Arial"/>
          <w:color w:val="000000"/>
          <w:lang w:val="en-US"/>
        </w:rPr>
        <w:t>CYP</w:t>
      </w:r>
      <w:r w:rsidR="00E568A1" w:rsidRPr="004A3F0F">
        <w:rPr>
          <w:rFonts w:ascii="Arial" w:hAnsi="Arial" w:cs="Arial"/>
          <w:color w:val="000000"/>
          <w:lang w:val="uk-UA"/>
        </w:rPr>
        <w:t>3</w:t>
      </w:r>
      <w:r w:rsidR="00E568A1" w:rsidRPr="001818B9">
        <w:rPr>
          <w:rFonts w:ascii="Arial" w:hAnsi="Arial" w:cs="Arial"/>
          <w:color w:val="000000"/>
          <w:lang w:val="en-US"/>
        </w:rPr>
        <w:t>A</w:t>
      </w:r>
      <w:r w:rsidR="00E568A1" w:rsidRPr="004A3F0F">
        <w:rPr>
          <w:rFonts w:ascii="Arial" w:hAnsi="Arial" w:cs="Arial"/>
          <w:color w:val="000000"/>
          <w:lang w:val="uk-UA"/>
        </w:rPr>
        <w:t>4), оскільки це може призвести до субтерапевтичних концентрацій</w:t>
      </w:r>
      <w:r w:rsidR="009C53BA">
        <w:rPr>
          <w:rFonts w:ascii="Arial" w:hAnsi="Arial" w:cs="Arial"/>
          <w:color w:val="000000"/>
          <w:lang w:val="uk-UA"/>
        </w:rPr>
        <w:t xml:space="preserve"> </w:t>
      </w:r>
      <w:r w:rsidR="009C53BA" w:rsidRPr="004A3F0F">
        <w:rPr>
          <w:rFonts w:ascii="Arial" w:hAnsi="Arial" w:cs="Arial"/>
          <w:color w:val="000000"/>
          <w:lang w:val="uk-UA"/>
        </w:rPr>
        <w:t>бедаквіліну</w:t>
      </w:r>
      <w:r w:rsidR="00C75DA3" w:rsidRPr="004A3F0F">
        <w:rPr>
          <w:rFonts w:ascii="Arial" w:hAnsi="Arial" w:cs="Arial"/>
          <w:color w:val="000000"/>
          <w:lang w:val="uk-UA"/>
        </w:rPr>
        <w:t>, що</w:t>
      </w:r>
      <w:r w:rsidR="00C75DA3">
        <w:rPr>
          <w:rFonts w:ascii="Arial" w:hAnsi="Arial" w:cs="Arial"/>
          <w:color w:val="000000"/>
          <w:lang w:val="uk-UA"/>
        </w:rPr>
        <w:t xml:space="preserve"> </w:t>
      </w:r>
      <w:r w:rsidR="00C75DA3" w:rsidRPr="004A3F0F">
        <w:rPr>
          <w:rFonts w:ascii="Arial" w:hAnsi="Arial" w:cs="Arial"/>
          <w:color w:val="000000"/>
          <w:lang w:val="uk-UA"/>
        </w:rPr>
        <w:t>призводить</w:t>
      </w:r>
      <w:r w:rsidR="00C75DA3">
        <w:rPr>
          <w:rFonts w:ascii="Arial" w:hAnsi="Arial" w:cs="Arial"/>
          <w:color w:val="000000"/>
          <w:lang w:val="uk-UA"/>
        </w:rPr>
        <w:t xml:space="preserve"> </w:t>
      </w:r>
      <w:r w:rsidR="00C75DA3" w:rsidRPr="004A3F0F">
        <w:rPr>
          <w:rFonts w:ascii="Arial" w:hAnsi="Arial" w:cs="Arial"/>
          <w:color w:val="000000"/>
          <w:lang w:val="uk-UA"/>
        </w:rPr>
        <w:t xml:space="preserve">до зменшення </w:t>
      </w:r>
      <w:r w:rsidR="00793460">
        <w:rPr>
          <w:rFonts w:ascii="Arial" w:hAnsi="Arial" w:cs="Arial"/>
          <w:color w:val="000000"/>
          <w:lang w:val="uk-UA"/>
        </w:rPr>
        <w:t xml:space="preserve">його </w:t>
      </w:r>
      <w:r w:rsidR="00C75DA3" w:rsidRPr="004A3F0F">
        <w:rPr>
          <w:rFonts w:ascii="Arial" w:hAnsi="Arial" w:cs="Arial"/>
          <w:color w:val="000000"/>
          <w:lang w:val="uk-UA"/>
        </w:rPr>
        <w:t>ефективності.</w:t>
      </w:r>
      <w:r w:rsidR="00C75DA3">
        <w:rPr>
          <w:rFonts w:ascii="Arial" w:hAnsi="Arial" w:cs="Arial"/>
          <w:color w:val="000000"/>
          <w:lang w:val="uk-UA"/>
        </w:rPr>
        <w:t xml:space="preserve"> </w:t>
      </w:r>
      <w:r w:rsidR="00C75DA3" w:rsidRPr="00563BB0">
        <w:rPr>
          <w:rFonts w:ascii="Arial" w:hAnsi="Arial" w:cs="Arial"/>
          <w:color w:val="000000"/>
          <w:lang w:val="uk-UA"/>
        </w:rPr>
        <w:t>Слід зазначити про наявність дуже</w:t>
      </w:r>
      <w:r w:rsidR="00C75DA3">
        <w:rPr>
          <w:rFonts w:ascii="Arial" w:hAnsi="Arial" w:cs="Arial"/>
          <w:color w:val="000000"/>
          <w:lang w:val="uk-UA"/>
        </w:rPr>
        <w:t xml:space="preserve"> </w:t>
      </w:r>
      <w:r w:rsidR="00C75DA3" w:rsidRPr="00563BB0">
        <w:rPr>
          <w:rFonts w:ascii="Arial" w:hAnsi="Arial" w:cs="Arial"/>
          <w:color w:val="000000"/>
          <w:lang w:val="uk-UA"/>
        </w:rPr>
        <w:t>обмежених</w:t>
      </w:r>
      <w:r w:rsidR="00793460">
        <w:rPr>
          <w:rFonts w:ascii="Arial" w:hAnsi="Arial" w:cs="Arial"/>
          <w:color w:val="000000"/>
          <w:lang w:val="uk-UA"/>
        </w:rPr>
        <w:t xml:space="preserve"> даних про взаємодію</w:t>
      </w:r>
      <w:r w:rsidR="00AD1D15">
        <w:rPr>
          <w:rFonts w:ascii="Arial" w:hAnsi="Arial" w:cs="Arial"/>
          <w:color w:val="000000"/>
          <w:lang w:val="uk-UA"/>
        </w:rPr>
        <w:t xml:space="preserve"> ліків </w:t>
      </w:r>
      <w:r w:rsidR="00AD1D15" w:rsidRPr="00563BB0">
        <w:rPr>
          <w:rFonts w:ascii="Arial" w:hAnsi="Arial" w:cs="Arial"/>
          <w:color w:val="000000"/>
          <w:lang w:val="uk-UA"/>
        </w:rPr>
        <w:t>з антиретровірусними препаратами, і вони базуються на дослідженнях одноразової дози, які були проведені серед здорових добровольці</w:t>
      </w:r>
      <w:r w:rsidR="00AD1D15">
        <w:rPr>
          <w:rFonts w:ascii="Arial" w:hAnsi="Arial" w:cs="Arial"/>
          <w:color w:val="000000"/>
          <w:lang w:val="uk-UA"/>
        </w:rPr>
        <w:t>в. Тому людям, які</w:t>
      </w:r>
    </w:p>
    <w:p w14:paraId="359ED4C0" w14:textId="1AABE825" w:rsidR="00E568A1" w:rsidRPr="004A3F0F" w:rsidRDefault="004A3F0F" w:rsidP="00C75DA3">
      <w:pPr>
        <w:pStyle w:val="ListParagraph1"/>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lang w:val="uk-UA"/>
        </w:rPr>
        <w:t>живуть з ВІЛ і</w:t>
      </w:r>
      <w:r w:rsidR="00E568A1" w:rsidRPr="00563BB0">
        <w:rPr>
          <w:rFonts w:ascii="Arial" w:hAnsi="Arial" w:cs="Arial"/>
          <w:color w:val="000000"/>
          <w:lang w:val="uk-UA"/>
        </w:rPr>
        <w:t xml:space="preserve"> будуть отримувати бедаквілін в рамках лікування </w:t>
      </w:r>
      <w:r w:rsidR="009B51D9">
        <w:rPr>
          <w:rFonts w:ascii="Arial" w:hAnsi="Arial" w:cs="Arial"/>
          <w:color w:val="000000"/>
          <w:lang w:val="uk-UA"/>
        </w:rPr>
        <w:t>МР ТБ</w:t>
      </w:r>
      <w:r w:rsidR="001A5C21">
        <w:rPr>
          <w:rFonts w:ascii="Arial" w:hAnsi="Arial" w:cs="Arial"/>
          <w:color w:val="000000"/>
          <w:lang w:val="uk-UA"/>
        </w:rPr>
        <w:t>, повинні призначатися індивідуальні</w:t>
      </w:r>
      <w:r w:rsidR="00E568A1" w:rsidRPr="00563BB0">
        <w:rPr>
          <w:rFonts w:ascii="Arial" w:hAnsi="Arial" w:cs="Arial"/>
          <w:color w:val="000000"/>
          <w:lang w:val="uk-UA"/>
        </w:rPr>
        <w:t xml:space="preserve"> схеми антиретровірусної терапії (АРТ), розроблені в тісній консультації з клініцистами з питань ВІЛ та спеціалістами з АРТ.</w:t>
      </w:r>
    </w:p>
    <w:p w14:paraId="2954A3BE" w14:textId="77777777" w:rsidR="00E568A1" w:rsidRPr="001818B9" w:rsidRDefault="00E568A1" w:rsidP="00C75DA3">
      <w:pPr>
        <w:pStyle w:val="ListParagraph1"/>
        <w:autoSpaceDE w:val="0"/>
        <w:autoSpaceDN w:val="0"/>
        <w:adjustRightInd w:val="0"/>
        <w:spacing w:after="0" w:line="240" w:lineRule="auto"/>
        <w:ind w:left="1068"/>
        <w:jc w:val="both"/>
        <w:rPr>
          <w:rFonts w:ascii="Arial" w:hAnsi="Arial" w:cs="Arial"/>
          <w:color w:val="000000"/>
          <w:lang w:val="uk-UA"/>
        </w:rPr>
      </w:pPr>
    </w:p>
    <w:p w14:paraId="2F1A6945" w14:textId="220DE908" w:rsidR="00E568A1" w:rsidRPr="00713994" w:rsidRDefault="00DD560E" w:rsidP="00C75DA3">
      <w:pPr>
        <w:pStyle w:val="ListParagraph1"/>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lang w:val="uk-UA"/>
        </w:rPr>
        <w:t xml:space="preserve">г. </w:t>
      </w:r>
      <w:r w:rsidR="00E568A1" w:rsidRPr="00713994">
        <w:rPr>
          <w:rFonts w:ascii="Arial" w:hAnsi="Arial" w:cs="Arial"/>
          <w:color w:val="000000"/>
          <w:lang w:val="uk-UA"/>
        </w:rPr>
        <w:t xml:space="preserve">Нарешті, пацієнтам </w:t>
      </w:r>
      <w:r w:rsidR="00386FC8" w:rsidRPr="00713994">
        <w:rPr>
          <w:rFonts w:ascii="Arial" w:hAnsi="Arial" w:cs="Arial"/>
          <w:color w:val="000000"/>
          <w:lang w:val="uk-UA"/>
        </w:rPr>
        <w:t xml:space="preserve">з хронічними захворюваннями </w:t>
      </w:r>
      <w:r w:rsidR="00E568A1" w:rsidRPr="00713994">
        <w:rPr>
          <w:rFonts w:ascii="Arial" w:hAnsi="Arial" w:cs="Arial"/>
          <w:color w:val="000000"/>
          <w:lang w:val="uk-UA"/>
        </w:rPr>
        <w:t xml:space="preserve">слід </w:t>
      </w:r>
      <w:r w:rsidR="00386FC8">
        <w:rPr>
          <w:rFonts w:ascii="Arial" w:hAnsi="Arial" w:cs="Arial"/>
          <w:color w:val="000000"/>
          <w:lang w:val="uk-UA"/>
        </w:rPr>
        <w:t>також бути обережними, адже вони</w:t>
      </w:r>
      <w:r w:rsidR="00E568A1" w:rsidRPr="00713994">
        <w:rPr>
          <w:rFonts w:ascii="Arial" w:hAnsi="Arial" w:cs="Arial"/>
          <w:color w:val="000000"/>
          <w:lang w:val="uk-UA"/>
        </w:rPr>
        <w:t xml:space="preserve"> можуть загостритися або погіршитися внаслідок прийому бедаквіліну. В даний час відсутні дані щодо ефективності та безпечності бідаквіліну для пацієнтів з </w:t>
      </w:r>
      <w:r w:rsidR="00386FC8">
        <w:rPr>
          <w:rFonts w:ascii="Arial" w:hAnsi="Arial" w:cs="Arial"/>
          <w:color w:val="000000"/>
          <w:lang w:val="uk-UA"/>
        </w:rPr>
        <w:t>супутніми захворюваннями</w:t>
      </w:r>
      <w:r w:rsidR="00E568A1" w:rsidRPr="00713994">
        <w:rPr>
          <w:rFonts w:ascii="Arial" w:hAnsi="Arial" w:cs="Arial"/>
          <w:color w:val="000000"/>
          <w:lang w:val="uk-UA"/>
        </w:rPr>
        <w:t>, такими як діабет, ди</w:t>
      </w:r>
      <w:r w:rsidR="00386FC8">
        <w:rPr>
          <w:rFonts w:ascii="Arial" w:hAnsi="Arial" w:cs="Arial"/>
          <w:color w:val="000000"/>
          <w:lang w:val="uk-UA"/>
        </w:rPr>
        <w:t>сфункція печінки та/або нирок, злоякісними</w:t>
      </w:r>
      <w:r w:rsidR="00E568A1" w:rsidRPr="00713994">
        <w:rPr>
          <w:rFonts w:ascii="Arial" w:hAnsi="Arial" w:cs="Arial"/>
          <w:color w:val="000000"/>
          <w:lang w:val="uk-UA"/>
        </w:rPr>
        <w:t xml:space="preserve"> новоутворення, </w:t>
      </w:r>
      <w:r w:rsidR="00386FC8">
        <w:rPr>
          <w:rFonts w:ascii="Arial" w:hAnsi="Arial" w:cs="Arial"/>
          <w:color w:val="000000"/>
          <w:lang w:val="uk-UA"/>
        </w:rPr>
        <w:t>та тих, хто вживає алкоголь</w:t>
      </w:r>
      <w:r w:rsidR="00E568A1" w:rsidRPr="00713994">
        <w:rPr>
          <w:rFonts w:ascii="Arial" w:hAnsi="Arial" w:cs="Arial"/>
          <w:color w:val="000000"/>
          <w:lang w:val="uk-UA"/>
        </w:rPr>
        <w:t xml:space="preserve"> та </w:t>
      </w:r>
      <w:r w:rsidR="00386FC8">
        <w:rPr>
          <w:rFonts w:ascii="Arial" w:hAnsi="Arial" w:cs="Arial"/>
          <w:color w:val="000000"/>
          <w:lang w:val="uk-UA"/>
        </w:rPr>
        <w:t>наркотичні</w:t>
      </w:r>
      <w:r w:rsidR="005F6655">
        <w:rPr>
          <w:rFonts w:ascii="Arial" w:hAnsi="Arial" w:cs="Arial"/>
          <w:color w:val="000000"/>
          <w:lang w:val="uk-UA"/>
        </w:rPr>
        <w:t xml:space="preserve"> </w:t>
      </w:r>
      <w:r w:rsidR="00E568A1" w:rsidRPr="00713994">
        <w:rPr>
          <w:rFonts w:ascii="Arial" w:hAnsi="Arial" w:cs="Arial"/>
          <w:color w:val="000000"/>
          <w:lang w:val="uk-UA"/>
        </w:rPr>
        <w:t>речови</w:t>
      </w:r>
      <w:r w:rsidR="009B4367" w:rsidRPr="00713994">
        <w:rPr>
          <w:rFonts w:ascii="Arial" w:hAnsi="Arial" w:cs="Arial"/>
          <w:color w:val="000000"/>
          <w:lang w:val="uk-UA"/>
        </w:rPr>
        <w:t>н</w:t>
      </w:r>
      <w:r w:rsidR="00386FC8">
        <w:rPr>
          <w:rFonts w:ascii="Arial" w:hAnsi="Arial" w:cs="Arial"/>
          <w:color w:val="000000"/>
          <w:lang w:val="uk-UA"/>
        </w:rPr>
        <w:t>и</w:t>
      </w:r>
      <w:r w:rsidR="009B4367" w:rsidRPr="00713994">
        <w:rPr>
          <w:rFonts w:ascii="Arial" w:hAnsi="Arial" w:cs="Arial"/>
          <w:color w:val="000000"/>
          <w:lang w:val="uk-UA"/>
        </w:rPr>
        <w:t xml:space="preserve">, тому слід проводити </w:t>
      </w:r>
      <w:r w:rsidR="009B4367">
        <w:rPr>
          <w:rFonts w:ascii="Arial" w:hAnsi="Arial" w:cs="Arial"/>
          <w:color w:val="000000"/>
          <w:lang w:val="uk-UA"/>
        </w:rPr>
        <w:t>ретельний</w:t>
      </w:r>
      <w:r w:rsidR="00E568A1" w:rsidRPr="00713994">
        <w:rPr>
          <w:rFonts w:ascii="Arial" w:hAnsi="Arial" w:cs="Arial"/>
          <w:color w:val="000000"/>
          <w:lang w:val="uk-UA"/>
        </w:rPr>
        <w:t xml:space="preserve"> скринінг цих захворювань до початку лікування.</w:t>
      </w:r>
    </w:p>
    <w:p w14:paraId="23454D37" w14:textId="77777777" w:rsidR="00E568A1" w:rsidRPr="00713994" w:rsidRDefault="00E568A1" w:rsidP="00320329">
      <w:pPr>
        <w:pStyle w:val="ListParagraph1"/>
        <w:autoSpaceDE w:val="0"/>
        <w:autoSpaceDN w:val="0"/>
        <w:adjustRightInd w:val="0"/>
        <w:spacing w:after="0" w:line="240" w:lineRule="auto"/>
        <w:jc w:val="both"/>
        <w:rPr>
          <w:rFonts w:ascii="Arial" w:hAnsi="Arial" w:cs="Arial"/>
          <w:color w:val="000000"/>
          <w:lang w:val="uk-UA"/>
        </w:rPr>
      </w:pPr>
    </w:p>
    <w:p w14:paraId="34B005F5" w14:textId="50E63FA8" w:rsidR="00E568A1" w:rsidRPr="00713994" w:rsidRDefault="00E568A1" w:rsidP="000B4280">
      <w:pPr>
        <w:autoSpaceDE w:val="0"/>
        <w:autoSpaceDN w:val="0"/>
        <w:adjustRightInd w:val="0"/>
        <w:spacing w:after="0" w:line="240" w:lineRule="auto"/>
        <w:jc w:val="both"/>
        <w:rPr>
          <w:rFonts w:ascii="Arial" w:hAnsi="Arial" w:cs="Arial"/>
          <w:color w:val="000000"/>
          <w:lang w:val="uk-UA"/>
        </w:rPr>
      </w:pPr>
      <w:r w:rsidRPr="00713994">
        <w:rPr>
          <w:rFonts w:ascii="Arial" w:hAnsi="Arial" w:cs="Arial"/>
          <w:color w:val="000000"/>
          <w:lang w:val="uk-UA"/>
        </w:rPr>
        <w:t xml:space="preserve">ВООЗ настійно рекомендує прискорити випробування </w:t>
      </w:r>
      <w:r w:rsidR="009B4367">
        <w:rPr>
          <w:rFonts w:ascii="Arial" w:hAnsi="Arial" w:cs="Arial"/>
          <w:color w:val="000000"/>
          <w:lang w:val="uk-UA"/>
        </w:rPr>
        <w:t xml:space="preserve">ІІІ </w:t>
      </w:r>
      <w:r w:rsidRPr="00713994">
        <w:rPr>
          <w:rFonts w:ascii="Arial" w:hAnsi="Arial" w:cs="Arial"/>
          <w:color w:val="000000"/>
          <w:lang w:val="uk-UA"/>
        </w:rPr>
        <w:t>Фази з метою розробки більш вичерпно</w:t>
      </w:r>
      <w:r w:rsidR="00386FC8">
        <w:rPr>
          <w:rFonts w:ascii="Arial" w:hAnsi="Arial" w:cs="Arial"/>
          <w:color w:val="000000"/>
          <w:lang w:val="uk-UA"/>
        </w:rPr>
        <w:t>ї доказової база для їх використання при розробці майбутніх</w:t>
      </w:r>
      <w:r w:rsidRPr="00713994">
        <w:rPr>
          <w:rFonts w:ascii="Arial" w:hAnsi="Arial" w:cs="Arial"/>
          <w:color w:val="000000"/>
          <w:lang w:val="uk-UA"/>
        </w:rPr>
        <w:t xml:space="preserve"> рекомендацій щодо</w:t>
      </w:r>
      <w:r w:rsidR="00386FC8">
        <w:rPr>
          <w:rFonts w:ascii="Arial" w:hAnsi="Arial" w:cs="Arial"/>
          <w:color w:val="000000"/>
          <w:lang w:val="uk-UA"/>
        </w:rPr>
        <w:t xml:space="preserve"> застосування</w:t>
      </w:r>
      <w:r w:rsidRPr="00713994">
        <w:rPr>
          <w:rFonts w:ascii="Arial" w:hAnsi="Arial" w:cs="Arial"/>
          <w:color w:val="000000"/>
          <w:lang w:val="uk-UA"/>
        </w:rPr>
        <w:t xml:space="preserve"> бедаквіліну.</w:t>
      </w:r>
    </w:p>
    <w:p w14:paraId="5FE14CB6" w14:textId="1DF0AFE9" w:rsidR="00E568A1" w:rsidRPr="00713994" w:rsidRDefault="00E568A1" w:rsidP="000B4280">
      <w:pPr>
        <w:autoSpaceDE w:val="0"/>
        <w:autoSpaceDN w:val="0"/>
        <w:adjustRightInd w:val="0"/>
        <w:spacing w:after="0" w:line="240" w:lineRule="auto"/>
        <w:jc w:val="both"/>
        <w:rPr>
          <w:rFonts w:ascii="Arial" w:hAnsi="Arial" w:cs="Arial"/>
          <w:color w:val="FFFFFF"/>
          <w:lang w:val="uk-UA"/>
        </w:rPr>
      </w:pPr>
      <w:r w:rsidRPr="00713994">
        <w:rPr>
          <w:rFonts w:ascii="Arial" w:hAnsi="Arial" w:cs="Arial"/>
          <w:color w:val="000000"/>
          <w:lang w:val="uk-UA"/>
        </w:rPr>
        <w:t>ВООЗ настійно закликає до розробки точ</w:t>
      </w:r>
      <w:r w:rsidR="00386FC8">
        <w:rPr>
          <w:rFonts w:ascii="Arial" w:hAnsi="Arial" w:cs="Arial"/>
          <w:color w:val="000000"/>
          <w:lang w:val="uk-UA"/>
        </w:rPr>
        <w:t>них та відтворюваних ТМЧ</w:t>
      </w:r>
      <w:r w:rsidRPr="00713994">
        <w:rPr>
          <w:rFonts w:ascii="Arial" w:hAnsi="Arial" w:cs="Arial"/>
          <w:color w:val="000000"/>
          <w:lang w:val="uk-UA"/>
        </w:rPr>
        <w:t xml:space="preserve"> для бедаквіліну та інших лікарських препаратів </w:t>
      </w:r>
      <w:r w:rsidR="00F0605F">
        <w:rPr>
          <w:rFonts w:ascii="Arial" w:hAnsi="Arial" w:cs="Arial"/>
          <w:color w:val="000000"/>
          <w:lang w:val="uk-UA"/>
        </w:rPr>
        <w:t>другого ряду</w:t>
      </w:r>
      <w:r w:rsidRPr="00713994">
        <w:rPr>
          <w:rFonts w:ascii="Arial" w:hAnsi="Arial" w:cs="Arial"/>
          <w:color w:val="000000"/>
          <w:lang w:val="uk-UA"/>
        </w:rPr>
        <w:t>.</w:t>
      </w:r>
      <w:r w:rsidRPr="00713994">
        <w:rPr>
          <w:rFonts w:ascii="Arial" w:hAnsi="Arial" w:cs="Arial"/>
          <w:color w:val="FFFFFF"/>
          <w:lang w:val="uk-UA"/>
        </w:rPr>
        <w:t>13</w:t>
      </w:r>
    </w:p>
    <w:p w14:paraId="6148D19C" w14:textId="77777777" w:rsidR="00E568A1" w:rsidRPr="00713994"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419E324D" w14:textId="77777777" w:rsidR="00E568A1" w:rsidRDefault="00E568A1" w:rsidP="0037724F">
      <w:pPr>
        <w:autoSpaceDE w:val="0"/>
        <w:autoSpaceDN w:val="0"/>
        <w:adjustRightInd w:val="0"/>
        <w:spacing w:after="0" w:line="240" w:lineRule="auto"/>
        <w:jc w:val="both"/>
        <w:rPr>
          <w:rFonts w:ascii="Arial" w:hAnsi="Arial" w:cs="Arial"/>
          <w:b/>
          <w:bCs/>
          <w:color w:val="000000"/>
          <w:sz w:val="48"/>
          <w:szCs w:val="48"/>
          <w:lang w:val="uk-UA"/>
        </w:rPr>
      </w:pPr>
    </w:p>
    <w:p w14:paraId="6CFC8BA3"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2F85D9FC"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3D08766F"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08B44AA8"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07A0C9B4"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3E66BA7C" w14:textId="77777777" w:rsidR="004A3F0F" w:rsidRDefault="004A3F0F" w:rsidP="0037724F">
      <w:pPr>
        <w:autoSpaceDE w:val="0"/>
        <w:autoSpaceDN w:val="0"/>
        <w:adjustRightInd w:val="0"/>
        <w:spacing w:after="0" w:line="240" w:lineRule="auto"/>
        <w:jc w:val="both"/>
        <w:rPr>
          <w:rFonts w:ascii="Arial" w:hAnsi="Arial" w:cs="Arial"/>
          <w:b/>
          <w:bCs/>
          <w:color w:val="000000"/>
          <w:sz w:val="48"/>
          <w:szCs w:val="48"/>
          <w:lang w:val="uk-UA"/>
        </w:rPr>
      </w:pPr>
    </w:p>
    <w:p w14:paraId="060CF474" w14:textId="77777777" w:rsidR="009B4367" w:rsidRDefault="009B4367" w:rsidP="0037724F">
      <w:pPr>
        <w:autoSpaceDE w:val="0"/>
        <w:autoSpaceDN w:val="0"/>
        <w:adjustRightInd w:val="0"/>
        <w:spacing w:after="0" w:line="240" w:lineRule="auto"/>
        <w:jc w:val="both"/>
        <w:rPr>
          <w:rFonts w:ascii="Arial" w:hAnsi="Arial" w:cs="Arial"/>
          <w:b/>
          <w:bCs/>
          <w:color w:val="000000"/>
          <w:sz w:val="48"/>
          <w:szCs w:val="48"/>
          <w:lang w:val="uk-UA"/>
        </w:rPr>
      </w:pPr>
    </w:p>
    <w:p w14:paraId="6801A921" w14:textId="77777777" w:rsidR="00D36754" w:rsidRDefault="00D36754" w:rsidP="00D36754">
      <w:pPr>
        <w:autoSpaceDE w:val="0"/>
        <w:autoSpaceDN w:val="0"/>
        <w:adjustRightInd w:val="0"/>
        <w:spacing w:after="0" w:line="240" w:lineRule="auto"/>
        <w:jc w:val="both"/>
        <w:outlineLvl w:val="0"/>
        <w:rPr>
          <w:rFonts w:ascii="Arial" w:hAnsi="Arial" w:cs="Arial"/>
          <w:b/>
          <w:bCs/>
          <w:color w:val="000000"/>
          <w:sz w:val="48"/>
          <w:szCs w:val="48"/>
          <w:lang w:val="uk-UA"/>
        </w:rPr>
      </w:pPr>
    </w:p>
    <w:p w14:paraId="22C2491B" w14:textId="77777777" w:rsidR="00D36754" w:rsidRDefault="00D36754" w:rsidP="00D36754">
      <w:pPr>
        <w:autoSpaceDE w:val="0"/>
        <w:autoSpaceDN w:val="0"/>
        <w:adjustRightInd w:val="0"/>
        <w:spacing w:after="0" w:line="240" w:lineRule="auto"/>
        <w:jc w:val="both"/>
        <w:outlineLvl w:val="0"/>
        <w:rPr>
          <w:rFonts w:ascii="Arial" w:hAnsi="Arial" w:cs="Arial"/>
          <w:b/>
          <w:bCs/>
          <w:color w:val="000000"/>
          <w:sz w:val="48"/>
          <w:szCs w:val="48"/>
          <w:lang w:val="uk-UA"/>
        </w:rPr>
      </w:pPr>
    </w:p>
    <w:p w14:paraId="127B5CCA" w14:textId="77777777" w:rsidR="00D36754" w:rsidRDefault="00D36754" w:rsidP="00D36754">
      <w:pPr>
        <w:autoSpaceDE w:val="0"/>
        <w:autoSpaceDN w:val="0"/>
        <w:adjustRightInd w:val="0"/>
        <w:spacing w:after="0" w:line="240" w:lineRule="auto"/>
        <w:jc w:val="both"/>
        <w:outlineLvl w:val="0"/>
        <w:rPr>
          <w:rFonts w:ascii="Arial" w:hAnsi="Arial" w:cs="Arial"/>
          <w:b/>
          <w:bCs/>
          <w:color w:val="000000"/>
          <w:sz w:val="48"/>
          <w:szCs w:val="48"/>
          <w:lang w:val="uk-UA"/>
        </w:rPr>
      </w:pPr>
    </w:p>
    <w:p w14:paraId="21A36BE7" w14:textId="77777777" w:rsidR="00D36754" w:rsidRDefault="00D36754" w:rsidP="00D36754">
      <w:pPr>
        <w:autoSpaceDE w:val="0"/>
        <w:autoSpaceDN w:val="0"/>
        <w:adjustRightInd w:val="0"/>
        <w:spacing w:after="0" w:line="240" w:lineRule="auto"/>
        <w:jc w:val="both"/>
        <w:outlineLvl w:val="0"/>
        <w:rPr>
          <w:rFonts w:ascii="Arial" w:hAnsi="Arial" w:cs="Arial"/>
          <w:b/>
          <w:bCs/>
          <w:color w:val="000000"/>
          <w:sz w:val="48"/>
          <w:szCs w:val="48"/>
          <w:lang w:val="uk-UA"/>
        </w:rPr>
      </w:pPr>
    </w:p>
    <w:p w14:paraId="156F5171" w14:textId="77777777" w:rsidR="00D36754" w:rsidRPr="001C0856" w:rsidRDefault="00D36754"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72190B99"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45DED57B"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10B0B4EA"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661937B1"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707A7477"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24D2DA0A" w14:textId="77777777" w:rsidR="00C75DA3" w:rsidRDefault="00C75DA3"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78B55CB1" w14:textId="77777777" w:rsidR="0091601B" w:rsidRDefault="0091601B" w:rsidP="00CE1F69">
      <w:pPr>
        <w:autoSpaceDE w:val="0"/>
        <w:autoSpaceDN w:val="0"/>
        <w:adjustRightInd w:val="0"/>
        <w:spacing w:after="0" w:line="240" w:lineRule="auto"/>
        <w:jc w:val="both"/>
        <w:outlineLvl w:val="0"/>
        <w:rPr>
          <w:rFonts w:ascii="Georgia" w:hAnsi="Georgia" w:cs="Arial"/>
          <w:b/>
          <w:bCs/>
          <w:color w:val="000000"/>
          <w:sz w:val="28"/>
          <w:szCs w:val="28"/>
          <w:lang w:val="uk-UA"/>
        </w:rPr>
      </w:pPr>
    </w:p>
    <w:p w14:paraId="4C034544" w14:textId="77777777" w:rsidR="00897A1E" w:rsidRDefault="00897A1E" w:rsidP="00CE1F69">
      <w:pPr>
        <w:autoSpaceDE w:val="0"/>
        <w:autoSpaceDN w:val="0"/>
        <w:adjustRightInd w:val="0"/>
        <w:spacing w:after="0" w:line="240" w:lineRule="auto"/>
        <w:jc w:val="both"/>
        <w:outlineLvl w:val="0"/>
        <w:rPr>
          <w:noProof/>
          <w:sz w:val="20"/>
          <w:szCs w:val="20"/>
          <w:lang w:eastAsia="ru-RU"/>
        </w:rPr>
      </w:pPr>
    </w:p>
    <w:p w14:paraId="34850FB4" w14:textId="77777777" w:rsidR="00897A1E" w:rsidRDefault="00897A1E" w:rsidP="00CE1F69">
      <w:pPr>
        <w:autoSpaceDE w:val="0"/>
        <w:autoSpaceDN w:val="0"/>
        <w:adjustRightInd w:val="0"/>
        <w:spacing w:after="0" w:line="240" w:lineRule="auto"/>
        <w:jc w:val="both"/>
        <w:outlineLvl w:val="0"/>
        <w:rPr>
          <w:noProof/>
          <w:sz w:val="20"/>
          <w:szCs w:val="20"/>
          <w:lang w:eastAsia="ru-RU"/>
        </w:rPr>
      </w:pPr>
    </w:p>
    <w:p w14:paraId="6FB84999" w14:textId="77777777" w:rsidR="00897A1E" w:rsidRDefault="00897A1E" w:rsidP="00CE1F69">
      <w:pPr>
        <w:autoSpaceDE w:val="0"/>
        <w:autoSpaceDN w:val="0"/>
        <w:adjustRightInd w:val="0"/>
        <w:spacing w:after="0" w:line="240" w:lineRule="auto"/>
        <w:jc w:val="both"/>
        <w:outlineLvl w:val="0"/>
        <w:rPr>
          <w:noProof/>
          <w:sz w:val="20"/>
          <w:szCs w:val="20"/>
          <w:lang w:eastAsia="ru-RU"/>
        </w:rPr>
      </w:pPr>
    </w:p>
    <w:p w14:paraId="0BEC714A" w14:textId="77777777" w:rsidR="00897A1E" w:rsidRDefault="00897A1E" w:rsidP="00CE1F69">
      <w:pPr>
        <w:autoSpaceDE w:val="0"/>
        <w:autoSpaceDN w:val="0"/>
        <w:adjustRightInd w:val="0"/>
        <w:spacing w:after="0" w:line="240" w:lineRule="auto"/>
        <w:jc w:val="both"/>
        <w:outlineLvl w:val="0"/>
        <w:rPr>
          <w:noProof/>
          <w:sz w:val="20"/>
          <w:szCs w:val="20"/>
          <w:lang w:eastAsia="ru-RU"/>
        </w:rPr>
      </w:pPr>
    </w:p>
    <w:p w14:paraId="08C2DD5B" w14:textId="77777777" w:rsidR="00897A1E" w:rsidRDefault="00897A1E" w:rsidP="00CE1F69">
      <w:pPr>
        <w:autoSpaceDE w:val="0"/>
        <w:autoSpaceDN w:val="0"/>
        <w:adjustRightInd w:val="0"/>
        <w:spacing w:after="0" w:line="240" w:lineRule="auto"/>
        <w:jc w:val="both"/>
        <w:outlineLvl w:val="0"/>
        <w:rPr>
          <w:noProof/>
          <w:sz w:val="20"/>
          <w:szCs w:val="20"/>
          <w:lang w:eastAsia="ru-RU"/>
        </w:rPr>
      </w:pPr>
    </w:p>
    <w:p w14:paraId="1D73A4FA" w14:textId="36B2ABC0" w:rsidR="00D36754" w:rsidRPr="001C0856" w:rsidRDefault="00897A1E" w:rsidP="00CE1F69">
      <w:pPr>
        <w:autoSpaceDE w:val="0"/>
        <w:autoSpaceDN w:val="0"/>
        <w:adjustRightInd w:val="0"/>
        <w:spacing w:after="0" w:line="240" w:lineRule="auto"/>
        <w:jc w:val="both"/>
        <w:outlineLvl w:val="0"/>
        <w:rPr>
          <w:rFonts w:ascii="Georgia" w:hAnsi="Georgia" w:cs="Arial"/>
          <w:b/>
          <w:bCs/>
          <w:color w:val="000000"/>
          <w:sz w:val="28"/>
          <w:szCs w:val="28"/>
          <w:lang w:val="uk-UA"/>
        </w:rPr>
      </w:pPr>
      <w:r>
        <w:rPr>
          <w:noProof/>
          <w:sz w:val="20"/>
          <w:szCs w:val="20"/>
          <w:lang w:eastAsia="ru-RU"/>
        </w:rPr>
        <w:drawing>
          <wp:anchor distT="0" distB="0" distL="114300" distR="114300" simplePos="0" relativeHeight="251685888" behindDoc="1" locked="0" layoutInCell="0" allowOverlap="1" wp14:anchorId="7F73A75C" wp14:editId="12E8609F">
            <wp:simplePos x="0" y="0"/>
            <wp:positionH relativeFrom="page">
              <wp:posOffset>731520</wp:posOffset>
            </wp:positionH>
            <wp:positionV relativeFrom="page">
              <wp:posOffset>119575</wp:posOffset>
            </wp:positionV>
            <wp:extent cx="802298" cy="567644"/>
            <wp:effectExtent l="0" t="0" r="10795" b="0"/>
            <wp:wrapNone/>
            <wp:docPr id="6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17373" cy="578310"/>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69504" behindDoc="1" locked="0" layoutInCell="0" allowOverlap="1" wp14:anchorId="692C6987" wp14:editId="1D57CA94">
            <wp:simplePos x="0" y="0"/>
            <wp:positionH relativeFrom="page">
              <wp:posOffset>734158</wp:posOffset>
            </wp:positionH>
            <wp:positionV relativeFrom="page">
              <wp:posOffset>118843</wp:posOffset>
            </wp:positionV>
            <wp:extent cx="800930" cy="577678"/>
            <wp:effectExtent l="0" t="0" r="12065" b="6985"/>
            <wp:wrapNone/>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00930" cy="577678"/>
                    </a:xfrm>
                    <a:prstGeom prst="rect">
                      <a:avLst/>
                    </a:prstGeom>
                    <a:noFill/>
                  </pic:spPr>
                </pic:pic>
              </a:graphicData>
            </a:graphic>
            <wp14:sizeRelH relativeFrom="margin">
              <wp14:pctWidth>0</wp14:pctWidth>
            </wp14:sizeRelH>
            <wp14:sizeRelV relativeFrom="margin">
              <wp14:pctHeight>0</wp14:pctHeight>
            </wp14:sizeRelV>
          </wp:anchor>
        </w:drawing>
      </w:r>
      <w:r w:rsidR="00D36754" w:rsidRPr="001C0856">
        <w:rPr>
          <w:rFonts w:ascii="Georgia" w:hAnsi="Georgia" w:cs="Arial"/>
          <w:b/>
          <w:bCs/>
          <w:color w:val="000000"/>
          <w:sz w:val="28"/>
          <w:szCs w:val="28"/>
          <w:lang w:val="uk-UA"/>
        </w:rPr>
        <w:t>Список скорочень</w:t>
      </w:r>
    </w:p>
    <w:p w14:paraId="3C5475FB" w14:textId="77777777" w:rsidR="00132CD4" w:rsidRDefault="00132CD4" w:rsidP="00CE1F69">
      <w:pPr>
        <w:autoSpaceDE w:val="0"/>
        <w:autoSpaceDN w:val="0"/>
        <w:adjustRightInd w:val="0"/>
        <w:spacing w:after="0" w:line="240" w:lineRule="auto"/>
        <w:jc w:val="both"/>
        <w:rPr>
          <w:rFonts w:ascii="Georgia" w:hAnsi="Georgia" w:cs="Arial"/>
          <w:b/>
          <w:bCs/>
          <w:color w:val="000000"/>
          <w:sz w:val="28"/>
          <w:szCs w:val="28"/>
          <w:lang w:val="uk-UA"/>
        </w:rPr>
      </w:pPr>
    </w:p>
    <w:p w14:paraId="1E680F24"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color w:val="000000"/>
          <w:sz w:val="28"/>
          <w:szCs w:val="28"/>
          <w:lang w:val="uk-UA"/>
        </w:rPr>
        <w:t>АРТ</w:t>
      </w:r>
      <w:r w:rsidRPr="001C0856">
        <w:rPr>
          <w:rFonts w:ascii="Georgia" w:hAnsi="Georgia" w:cs="Arial"/>
          <w:color w:val="000000"/>
          <w:sz w:val="28"/>
          <w:szCs w:val="28"/>
          <w:lang w:val="uk-UA"/>
        </w:rPr>
        <w:t xml:space="preserve"> антиретровірусна терапія</w:t>
      </w:r>
    </w:p>
    <w:p w14:paraId="19199D2A" w14:textId="77777777" w:rsidR="00132CD4" w:rsidRDefault="00132CD4" w:rsidP="00CE1F69">
      <w:pPr>
        <w:autoSpaceDE w:val="0"/>
        <w:autoSpaceDN w:val="0"/>
        <w:adjustRightInd w:val="0"/>
        <w:spacing w:after="0" w:line="240" w:lineRule="auto"/>
        <w:jc w:val="both"/>
        <w:outlineLvl w:val="0"/>
        <w:rPr>
          <w:rFonts w:ascii="Georgia" w:hAnsi="Georgia" w:cs="Arial"/>
          <w:bCs/>
          <w:color w:val="000000"/>
          <w:sz w:val="28"/>
          <w:szCs w:val="28"/>
          <w:lang w:val="uk-UA"/>
        </w:rPr>
      </w:pPr>
      <w:r w:rsidRPr="001C0856">
        <w:rPr>
          <w:rFonts w:ascii="Georgia" w:hAnsi="Georgia" w:cs="Arial"/>
          <w:b/>
          <w:bCs/>
          <w:color w:val="000000"/>
          <w:sz w:val="28"/>
          <w:szCs w:val="28"/>
          <w:lang w:val="en-US"/>
        </w:rPr>
        <w:t xml:space="preserve">ВООЗ </w:t>
      </w:r>
      <w:r w:rsidRPr="001C0856">
        <w:rPr>
          <w:rFonts w:ascii="Georgia" w:hAnsi="Georgia" w:cs="Arial"/>
          <w:bCs/>
          <w:color w:val="000000"/>
          <w:sz w:val="28"/>
          <w:szCs w:val="28"/>
          <w:lang w:val="en-US"/>
        </w:rPr>
        <w:t>Всесвітня Організація Охорони Здоров</w:t>
      </w:r>
      <w:r w:rsidRPr="001C0856">
        <w:rPr>
          <w:rFonts w:ascii="Georgia" w:hAnsi="Georgia" w:cs="Arial"/>
          <w:bCs/>
          <w:color w:val="000000"/>
          <w:sz w:val="28"/>
          <w:szCs w:val="28"/>
        </w:rPr>
        <w:t>'</w:t>
      </w:r>
      <w:r w:rsidRPr="001C0856">
        <w:rPr>
          <w:rFonts w:ascii="Georgia" w:hAnsi="Georgia" w:cs="Arial"/>
          <w:bCs/>
          <w:color w:val="000000"/>
          <w:sz w:val="28"/>
          <w:szCs w:val="28"/>
          <w:lang w:val="uk-UA"/>
        </w:rPr>
        <w:t>я</w:t>
      </w:r>
    </w:p>
    <w:p w14:paraId="06AF19DF"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bCs/>
          <w:color w:val="000000"/>
          <w:sz w:val="28"/>
          <w:szCs w:val="28"/>
          <w:lang w:val="en-US"/>
        </w:rPr>
        <w:t xml:space="preserve">ЕГ </w:t>
      </w:r>
      <w:r w:rsidRPr="001C0856">
        <w:rPr>
          <w:rFonts w:ascii="Georgia" w:hAnsi="Georgia" w:cs="Arial"/>
          <w:color w:val="000000"/>
          <w:sz w:val="28"/>
          <w:szCs w:val="28"/>
          <w:lang w:val="uk-UA"/>
        </w:rPr>
        <w:t>Експертна Група</w:t>
      </w:r>
    </w:p>
    <w:p w14:paraId="068029AD"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color w:val="000000"/>
          <w:sz w:val="28"/>
          <w:szCs w:val="28"/>
          <w:lang w:val="uk-UA"/>
        </w:rPr>
        <w:t>ЕКГ</w:t>
      </w:r>
      <w:r w:rsidRPr="001C0856">
        <w:rPr>
          <w:rFonts w:ascii="Georgia" w:hAnsi="Georgia" w:cs="Arial"/>
          <w:color w:val="000000"/>
          <w:sz w:val="28"/>
          <w:szCs w:val="28"/>
          <w:lang w:val="uk-UA"/>
        </w:rPr>
        <w:t xml:space="preserve"> електрокардіограма </w:t>
      </w:r>
    </w:p>
    <w:p w14:paraId="7DCB8505"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bCs/>
          <w:color w:val="000000"/>
          <w:sz w:val="28"/>
          <w:szCs w:val="28"/>
          <w:lang w:val="en-US"/>
        </w:rPr>
        <w:t>ЛЖВ</w:t>
      </w:r>
      <w:r w:rsidRPr="001C0856">
        <w:rPr>
          <w:rFonts w:ascii="Georgia" w:hAnsi="Georgia" w:cs="Arial"/>
          <w:color w:val="000000"/>
          <w:sz w:val="28"/>
          <w:szCs w:val="28"/>
          <w:lang w:val="uk-UA"/>
        </w:rPr>
        <w:t xml:space="preserve"> люди, які живуть з ВІЛ</w:t>
      </w:r>
    </w:p>
    <w:p w14:paraId="03BB1358" w14:textId="77777777" w:rsidR="00132CD4" w:rsidRPr="001C0856" w:rsidRDefault="00132CD4" w:rsidP="00CE1F69">
      <w:pPr>
        <w:widowControl w:val="0"/>
        <w:autoSpaceDE w:val="0"/>
        <w:autoSpaceDN w:val="0"/>
        <w:adjustRightInd w:val="0"/>
        <w:spacing w:after="240"/>
        <w:contextualSpacing/>
        <w:rPr>
          <w:rFonts w:ascii="Georgia" w:eastAsia="Arial Unicode MS" w:hAnsi="Georgia" w:cs="Arial"/>
          <w:color w:val="000000" w:themeColor="text1"/>
          <w:sz w:val="28"/>
          <w:szCs w:val="28"/>
          <w:shd w:val="clear" w:color="auto" w:fill="FFFFFF"/>
          <w:lang w:val="en-US"/>
        </w:rPr>
      </w:pPr>
      <w:r w:rsidRPr="001C0856">
        <w:rPr>
          <w:rFonts w:ascii="Georgia" w:hAnsi="Georgia" w:cs="Arial"/>
          <w:b/>
          <w:bCs/>
          <w:color w:val="000000"/>
          <w:sz w:val="28"/>
          <w:szCs w:val="28"/>
          <w:lang w:val="en-US"/>
        </w:rPr>
        <w:t>МР ТБ</w:t>
      </w:r>
      <w:r w:rsidRPr="001C0856">
        <w:rPr>
          <w:rFonts w:ascii="Georgia" w:hAnsi="Georgia" w:cs="Arial"/>
          <w:color w:val="000000"/>
          <w:sz w:val="28"/>
          <w:szCs w:val="28"/>
          <w:lang w:val="uk-UA"/>
        </w:rPr>
        <w:t xml:space="preserve"> мультирезистентний туберкульоз</w:t>
      </w:r>
    </w:p>
    <w:p w14:paraId="3AE1DAA1"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color w:val="000000"/>
          <w:sz w:val="28"/>
          <w:szCs w:val="28"/>
          <w:lang w:val="en-US"/>
        </w:rPr>
        <w:t>НТП</w:t>
      </w:r>
      <w:r w:rsidRPr="001C0856">
        <w:rPr>
          <w:rFonts w:ascii="Georgia" w:hAnsi="Georgia" w:cs="Arial"/>
          <w:color w:val="000000"/>
          <w:sz w:val="28"/>
          <w:szCs w:val="28"/>
          <w:lang w:val="en-US"/>
        </w:rPr>
        <w:t xml:space="preserve"> </w:t>
      </w:r>
      <w:r w:rsidRPr="001C0856">
        <w:rPr>
          <w:rFonts w:ascii="Georgia" w:hAnsi="Georgia" w:cs="Arial"/>
          <w:color w:val="000000"/>
          <w:sz w:val="28"/>
          <w:szCs w:val="28"/>
          <w:lang w:val="uk-UA"/>
        </w:rPr>
        <w:t>- Національна програма боротьби з туберкульозом</w:t>
      </w:r>
    </w:p>
    <w:p w14:paraId="058D2D28" w14:textId="77777777" w:rsidR="00132CD4" w:rsidRPr="001C0856" w:rsidRDefault="00132CD4" w:rsidP="00CE1F69">
      <w:pPr>
        <w:autoSpaceDE w:val="0"/>
        <w:autoSpaceDN w:val="0"/>
        <w:adjustRightInd w:val="0"/>
        <w:spacing w:after="0" w:line="240" w:lineRule="auto"/>
        <w:jc w:val="both"/>
        <w:outlineLvl w:val="0"/>
        <w:rPr>
          <w:rFonts w:ascii="Georgia" w:hAnsi="Georgia" w:cs="Arial"/>
          <w:color w:val="000000"/>
          <w:sz w:val="28"/>
          <w:szCs w:val="28"/>
          <w:lang w:val="uk-UA"/>
        </w:rPr>
      </w:pPr>
      <w:r w:rsidRPr="001C0856">
        <w:rPr>
          <w:rFonts w:ascii="Georgia" w:hAnsi="Georgia" w:cs="Arial"/>
          <w:b/>
          <w:bCs/>
          <w:color w:val="000000"/>
          <w:sz w:val="28"/>
          <w:szCs w:val="28"/>
          <w:lang w:val="en-US"/>
        </w:rPr>
        <w:t>ПР</w:t>
      </w:r>
      <w:r w:rsidRPr="001C0856">
        <w:rPr>
          <w:rFonts w:ascii="Georgia" w:hAnsi="Georgia" w:cs="Arial"/>
          <w:color w:val="000000"/>
          <w:sz w:val="28"/>
          <w:szCs w:val="28"/>
          <w:lang w:val="uk-UA"/>
        </w:rPr>
        <w:t xml:space="preserve"> Побічні реакції</w:t>
      </w:r>
    </w:p>
    <w:p w14:paraId="140A02C5" w14:textId="77777777" w:rsidR="00132CD4" w:rsidRPr="001C0856" w:rsidRDefault="00132CD4" w:rsidP="00CE1F69">
      <w:pPr>
        <w:autoSpaceDE w:val="0"/>
        <w:autoSpaceDN w:val="0"/>
        <w:adjustRightInd w:val="0"/>
        <w:spacing w:after="0" w:line="240" w:lineRule="auto"/>
        <w:jc w:val="both"/>
        <w:outlineLvl w:val="0"/>
        <w:rPr>
          <w:rFonts w:ascii="Georgia" w:hAnsi="Georgia" w:cs="Arial"/>
          <w:color w:val="000000"/>
          <w:sz w:val="28"/>
          <w:szCs w:val="28"/>
          <w:lang w:val="uk-UA"/>
        </w:rPr>
      </w:pPr>
      <w:r w:rsidRPr="001C0856">
        <w:rPr>
          <w:rFonts w:ascii="Georgia" w:hAnsi="Georgia" w:cs="Arial"/>
          <w:b/>
          <w:bCs/>
          <w:color w:val="000000"/>
          <w:sz w:val="28"/>
          <w:szCs w:val="28"/>
          <w:lang w:val="en-US"/>
        </w:rPr>
        <w:t>ТБ</w:t>
      </w:r>
      <w:r w:rsidRPr="001C0856">
        <w:rPr>
          <w:rFonts w:ascii="Georgia" w:hAnsi="Georgia" w:cs="Arial"/>
          <w:color w:val="000000"/>
          <w:sz w:val="28"/>
          <w:szCs w:val="28"/>
          <w:lang w:val="uk-UA"/>
        </w:rPr>
        <w:t xml:space="preserve"> - туберкульоз</w:t>
      </w:r>
    </w:p>
    <w:p w14:paraId="2ABA66A6" w14:textId="77777777" w:rsidR="002125A5" w:rsidRDefault="00132CD4" w:rsidP="002125A5">
      <w:pPr>
        <w:autoSpaceDE w:val="0"/>
        <w:autoSpaceDN w:val="0"/>
        <w:adjustRightInd w:val="0"/>
        <w:spacing w:after="0" w:line="240" w:lineRule="auto"/>
        <w:jc w:val="both"/>
        <w:outlineLvl w:val="0"/>
        <w:rPr>
          <w:rFonts w:ascii="Georgia" w:hAnsi="Georgia" w:cs="Arial"/>
          <w:bCs/>
          <w:color w:val="000000"/>
          <w:sz w:val="28"/>
          <w:szCs w:val="28"/>
          <w:lang w:val="uk-UA"/>
        </w:rPr>
      </w:pPr>
      <w:r w:rsidRPr="004161C9">
        <w:rPr>
          <w:rFonts w:ascii="Georgia" w:hAnsi="Georgia" w:cs="Arial"/>
          <w:b/>
          <w:bCs/>
          <w:color w:val="000000"/>
          <w:sz w:val="28"/>
          <w:szCs w:val="28"/>
          <w:lang w:val="uk-UA"/>
        </w:rPr>
        <w:t>ТМЧ</w:t>
      </w:r>
      <w:r>
        <w:rPr>
          <w:rFonts w:ascii="Georgia" w:hAnsi="Georgia" w:cs="Arial"/>
          <w:bCs/>
          <w:color w:val="000000"/>
          <w:sz w:val="28"/>
          <w:szCs w:val="28"/>
          <w:lang w:val="uk-UA"/>
        </w:rPr>
        <w:t xml:space="preserve"> </w:t>
      </w:r>
      <w:r w:rsidRPr="00AE6996">
        <w:rPr>
          <w:rFonts w:ascii="Georgia" w:hAnsi="Georgia" w:cs="Times"/>
          <w:color w:val="000000"/>
          <w:sz w:val="28"/>
          <w:szCs w:val="28"/>
        </w:rPr>
        <w:t xml:space="preserve">тест медикаментозної чутливості </w:t>
      </w:r>
    </w:p>
    <w:p w14:paraId="5A142B78" w14:textId="6177257F" w:rsidR="00132CD4" w:rsidRPr="002125A5" w:rsidRDefault="002125A5" w:rsidP="002125A5">
      <w:pPr>
        <w:autoSpaceDE w:val="0"/>
        <w:autoSpaceDN w:val="0"/>
        <w:adjustRightInd w:val="0"/>
        <w:spacing w:after="0" w:line="240" w:lineRule="auto"/>
        <w:jc w:val="both"/>
        <w:outlineLvl w:val="0"/>
        <w:rPr>
          <w:rFonts w:ascii="Georgia" w:hAnsi="Georgia" w:cs="Arial"/>
          <w:bCs/>
          <w:color w:val="000000"/>
          <w:sz w:val="28"/>
          <w:szCs w:val="28"/>
          <w:lang w:val="uk-UA"/>
        </w:rPr>
      </w:pPr>
      <w:r w:rsidRPr="002125A5">
        <w:rPr>
          <w:rFonts w:ascii="Georgia" w:hAnsi="Georgia" w:cs="Arial"/>
          <w:b/>
          <w:bCs/>
          <w:color w:val="000000"/>
          <w:sz w:val="28"/>
          <w:szCs w:val="28"/>
          <w:lang w:val="uk-UA"/>
        </w:rPr>
        <w:t>РР</w:t>
      </w:r>
      <w:r w:rsidR="00132CD4" w:rsidRPr="002125A5">
        <w:rPr>
          <w:rFonts w:ascii="Georgia" w:hAnsi="Georgia" w:cs="Arial"/>
          <w:b/>
          <w:bCs/>
          <w:color w:val="000000"/>
          <w:sz w:val="28"/>
          <w:szCs w:val="28"/>
          <w:lang w:val="en-US"/>
        </w:rPr>
        <w:t xml:space="preserve"> Т</w:t>
      </w:r>
      <w:r w:rsidR="00132CD4" w:rsidRPr="001C0856">
        <w:rPr>
          <w:rFonts w:ascii="Georgia" w:hAnsi="Georgia" w:cs="Arial"/>
          <w:b/>
          <w:bCs/>
          <w:color w:val="000000"/>
          <w:sz w:val="28"/>
          <w:szCs w:val="28"/>
          <w:lang w:val="en-US"/>
        </w:rPr>
        <w:t>Б</w:t>
      </w:r>
      <w:r w:rsidR="00132CD4" w:rsidRPr="001C0856">
        <w:rPr>
          <w:rFonts w:ascii="Georgia" w:hAnsi="Georgia" w:cs="Arial"/>
          <w:b/>
          <w:bCs/>
          <w:color w:val="000000"/>
          <w:sz w:val="28"/>
          <w:szCs w:val="28"/>
          <w:lang w:val="uk-UA"/>
        </w:rPr>
        <w:t xml:space="preserve"> </w:t>
      </w:r>
      <w:r>
        <w:rPr>
          <w:rFonts w:ascii="Georgia" w:hAnsi="Georgia" w:cs="Arial"/>
          <w:color w:val="000000"/>
          <w:sz w:val="28"/>
          <w:szCs w:val="28"/>
          <w:lang w:val="uk-UA"/>
        </w:rPr>
        <w:t>туберкульоз з розширеною резистентністю</w:t>
      </w:r>
    </w:p>
    <w:p w14:paraId="52D48C56" w14:textId="77777777" w:rsidR="00132CD4" w:rsidRPr="001C0856" w:rsidRDefault="00132CD4" w:rsidP="00CE1F69">
      <w:pPr>
        <w:spacing w:line="240" w:lineRule="auto"/>
        <w:rPr>
          <w:rFonts w:ascii="Georgia" w:hAnsi="Georgia" w:cs="Arial"/>
          <w:color w:val="000000" w:themeColor="text1"/>
          <w:sz w:val="28"/>
          <w:szCs w:val="28"/>
          <w:lang w:val="uk-UA"/>
        </w:rPr>
      </w:pPr>
      <w:r w:rsidRPr="001C0856">
        <w:rPr>
          <w:rFonts w:ascii="Georgia" w:hAnsi="Georgia" w:cs="Arial"/>
          <w:b/>
          <w:color w:val="000000" w:themeColor="text1"/>
          <w:sz w:val="28"/>
          <w:szCs w:val="28"/>
          <w:lang w:val="en-US"/>
        </w:rPr>
        <w:t>FDA USA</w:t>
      </w:r>
      <w:r w:rsidRPr="001C0856">
        <w:rPr>
          <w:rFonts w:ascii="Georgia" w:hAnsi="Georgia" w:cs="Arial"/>
          <w:color w:val="000000" w:themeColor="text1"/>
          <w:sz w:val="28"/>
          <w:szCs w:val="28"/>
          <w:lang w:val="en-US"/>
        </w:rPr>
        <w:t xml:space="preserve"> </w:t>
      </w:r>
      <w:r w:rsidRPr="001C0856">
        <w:rPr>
          <w:rFonts w:ascii="Georgia" w:hAnsi="Georgia" w:cs="Arial"/>
          <w:color w:val="000000" w:themeColor="text1"/>
          <w:sz w:val="28"/>
          <w:szCs w:val="28"/>
          <w:lang w:val="uk-UA"/>
        </w:rPr>
        <w:t>Управлінням з санітарного нагляду за якістю харчових продуктів і медикаментів США</w:t>
      </w:r>
    </w:p>
    <w:p w14:paraId="3F188EBE"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bCs/>
          <w:color w:val="000000"/>
          <w:sz w:val="28"/>
          <w:szCs w:val="28"/>
          <w:lang w:val="en-US"/>
        </w:rPr>
        <w:t>GRADE</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uk-UA"/>
        </w:rPr>
        <w:t>Система оцінки, розробки та аналізу рекомендацій</w:t>
      </w:r>
    </w:p>
    <w:p w14:paraId="2C28DE26" w14:textId="77777777" w:rsidR="00132CD4" w:rsidRPr="001C0856" w:rsidRDefault="00132CD4" w:rsidP="00CE1F69">
      <w:pPr>
        <w:widowControl w:val="0"/>
        <w:autoSpaceDE w:val="0"/>
        <w:autoSpaceDN w:val="0"/>
        <w:adjustRightInd w:val="0"/>
        <w:spacing w:after="240"/>
        <w:contextualSpacing/>
        <w:rPr>
          <w:rFonts w:ascii="Georgia" w:eastAsia="Arial Unicode MS" w:hAnsi="Georgia" w:cs="Arial"/>
          <w:color w:val="000000" w:themeColor="text1"/>
          <w:sz w:val="28"/>
          <w:szCs w:val="28"/>
          <w:shd w:val="clear" w:color="auto" w:fill="FFFFFF"/>
          <w:lang w:val="en-US"/>
        </w:rPr>
      </w:pPr>
      <w:r w:rsidRPr="001C0856">
        <w:rPr>
          <w:rFonts w:ascii="Georgia" w:hAnsi="Georgia" w:cs="Arial"/>
          <w:b/>
          <w:bCs/>
          <w:color w:val="000000"/>
          <w:sz w:val="28"/>
          <w:szCs w:val="28"/>
          <w:lang w:val="en-US"/>
        </w:rPr>
        <w:t>ITT</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en-US"/>
        </w:rPr>
        <w:t xml:space="preserve">вибірка “всі рандомізовані пацієнти згідно призначеного лікування”, </w:t>
      </w:r>
      <w:r w:rsidRPr="001C0856">
        <w:rPr>
          <w:rStyle w:val="af"/>
          <w:rFonts w:ascii="Georgia" w:hAnsi="Georgia" w:cs="Arial"/>
          <w:bCs/>
          <w:i w:val="0"/>
          <w:iCs w:val="0"/>
          <w:color w:val="000000" w:themeColor="text1"/>
          <w:sz w:val="28"/>
          <w:szCs w:val="28"/>
        </w:rPr>
        <w:t>пацієнти</w:t>
      </w:r>
      <w:r w:rsidRPr="001C0856">
        <w:rPr>
          <w:rFonts w:ascii="Georgia" w:hAnsi="Georgia" w:cs="Arial"/>
          <w:color w:val="000000" w:themeColor="text1"/>
          <w:sz w:val="28"/>
          <w:szCs w:val="28"/>
          <w:shd w:val="clear" w:color="auto" w:fill="FFFFFF"/>
        </w:rPr>
        <w:t>,</w:t>
      </w:r>
      <w:r w:rsidRPr="001C0856">
        <w:rPr>
          <w:rStyle w:val="apple-converted-space"/>
          <w:rFonts w:ascii="Georgia" w:hAnsi="Georgia" w:cs="Arial"/>
          <w:color w:val="000000" w:themeColor="text1"/>
          <w:sz w:val="28"/>
          <w:szCs w:val="28"/>
          <w:shd w:val="clear" w:color="auto" w:fill="FFFFFF"/>
        </w:rPr>
        <w:t> </w:t>
      </w:r>
      <w:r w:rsidRPr="001C0856">
        <w:rPr>
          <w:rStyle w:val="af"/>
          <w:rFonts w:ascii="Georgia" w:hAnsi="Georgia" w:cs="Arial"/>
          <w:bCs/>
          <w:i w:val="0"/>
          <w:iCs w:val="0"/>
          <w:color w:val="000000" w:themeColor="text1"/>
          <w:sz w:val="28"/>
          <w:szCs w:val="28"/>
        </w:rPr>
        <w:t>які почали</w:t>
      </w:r>
      <w:r w:rsidRPr="001C0856">
        <w:rPr>
          <w:rStyle w:val="apple-converted-space"/>
          <w:rFonts w:ascii="Georgia" w:hAnsi="Georgia" w:cs="Arial"/>
          <w:color w:val="000000" w:themeColor="text1"/>
          <w:sz w:val="28"/>
          <w:szCs w:val="28"/>
          <w:shd w:val="clear" w:color="auto" w:fill="FFFFFF"/>
        </w:rPr>
        <w:t> </w:t>
      </w:r>
      <w:r w:rsidRPr="001C0856">
        <w:rPr>
          <w:rFonts w:ascii="Georgia" w:hAnsi="Georgia" w:cs="Arial"/>
          <w:color w:val="000000" w:themeColor="text1"/>
          <w:sz w:val="28"/>
          <w:szCs w:val="28"/>
          <w:shd w:val="clear" w:color="auto" w:fill="FFFFFF"/>
        </w:rPr>
        <w:t>отримувати</w:t>
      </w:r>
      <w:r w:rsidRPr="001C0856">
        <w:rPr>
          <w:rStyle w:val="apple-converted-space"/>
          <w:rFonts w:ascii="Georgia" w:hAnsi="Georgia" w:cs="Arial"/>
          <w:color w:val="000000" w:themeColor="text1"/>
          <w:sz w:val="28"/>
          <w:szCs w:val="28"/>
          <w:shd w:val="clear" w:color="auto" w:fill="FFFFFF"/>
        </w:rPr>
        <w:t> </w:t>
      </w:r>
      <w:r w:rsidRPr="001C0856">
        <w:rPr>
          <w:rStyle w:val="af"/>
          <w:rFonts w:ascii="Georgia" w:hAnsi="Georgia" w:cs="Arial"/>
          <w:bCs/>
          <w:i w:val="0"/>
          <w:iCs w:val="0"/>
          <w:color w:val="000000" w:themeColor="text1"/>
          <w:sz w:val="28"/>
          <w:szCs w:val="28"/>
        </w:rPr>
        <w:t>лікування</w:t>
      </w:r>
    </w:p>
    <w:p w14:paraId="36DF2A74" w14:textId="77777777" w:rsidR="00132CD4" w:rsidRPr="001C0856" w:rsidRDefault="00132CD4" w:rsidP="00CE1F69">
      <w:pPr>
        <w:autoSpaceDE w:val="0"/>
        <w:autoSpaceDN w:val="0"/>
        <w:adjustRightInd w:val="0"/>
        <w:spacing w:after="0"/>
        <w:contextualSpacing/>
        <w:jc w:val="both"/>
        <w:rPr>
          <w:rFonts w:ascii="Georgia" w:hAnsi="Georgia" w:cs="Arial"/>
          <w:color w:val="000000"/>
          <w:sz w:val="28"/>
          <w:szCs w:val="28"/>
          <w:lang w:val="uk-UA"/>
        </w:rPr>
      </w:pPr>
      <w:r w:rsidRPr="001C0856">
        <w:rPr>
          <w:rFonts w:ascii="Georgia" w:hAnsi="Georgia" w:cs="Arial"/>
          <w:b/>
          <w:bCs/>
          <w:color w:val="000000"/>
          <w:sz w:val="28"/>
          <w:szCs w:val="28"/>
          <w:lang w:val="en-US"/>
        </w:rPr>
        <w:t>MIК</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uk-UA"/>
        </w:rPr>
        <w:t>мінімальна інгібуюча концентрація</w:t>
      </w:r>
    </w:p>
    <w:p w14:paraId="2A6C6508" w14:textId="77777777" w:rsidR="00132CD4" w:rsidRPr="001C0856" w:rsidRDefault="00132CD4" w:rsidP="001C0856">
      <w:pPr>
        <w:widowControl w:val="0"/>
        <w:autoSpaceDE w:val="0"/>
        <w:autoSpaceDN w:val="0"/>
        <w:adjustRightInd w:val="0"/>
        <w:spacing w:after="240"/>
        <w:rPr>
          <w:rFonts w:ascii="Georgia" w:hAnsi="Georgia" w:cs="Times"/>
          <w:b/>
          <w:color w:val="000000" w:themeColor="text1"/>
          <w:sz w:val="28"/>
          <w:szCs w:val="28"/>
          <w:lang w:val="en-US"/>
        </w:rPr>
      </w:pPr>
      <w:r w:rsidRPr="001C0856">
        <w:rPr>
          <w:rFonts w:ascii="Georgia" w:hAnsi="Georgia" w:cs="Arial"/>
          <w:b/>
          <w:bCs/>
          <w:color w:val="000000"/>
          <w:sz w:val="28"/>
          <w:szCs w:val="28"/>
          <w:lang w:val="en-US"/>
        </w:rPr>
        <w:t>mITT</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en-US"/>
        </w:rPr>
        <w:t>modified</w:t>
      </w:r>
      <w:r w:rsidRPr="001C0856">
        <w:rPr>
          <w:rFonts w:ascii="Georgia" w:hAnsi="Georgia" w:cs="Arial"/>
          <w:color w:val="000000"/>
          <w:sz w:val="28"/>
          <w:szCs w:val="28"/>
          <w:lang w:val="uk-UA"/>
        </w:rPr>
        <w:t xml:space="preserve"> </w:t>
      </w:r>
      <w:r w:rsidRPr="001C0856">
        <w:rPr>
          <w:rFonts w:ascii="Georgia" w:hAnsi="Georgia" w:cs="Arial"/>
          <w:color w:val="000000"/>
          <w:sz w:val="28"/>
          <w:szCs w:val="28"/>
          <w:lang w:val="en-US"/>
        </w:rPr>
        <w:t>intention</w:t>
      </w:r>
      <w:r w:rsidRPr="001C0856">
        <w:rPr>
          <w:rFonts w:ascii="Georgia" w:hAnsi="Georgia" w:cs="Arial"/>
          <w:color w:val="000000"/>
          <w:sz w:val="28"/>
          <w:szCs w:val="28"/>
          <w:lang w:val="uk-UA"/>
        </w:rPr>
        <w:t xml:space="preserve"> </w:t>
      </w:r>
      <w:r w:rsidRPr="001C0856">
        <w:rPr>
          <w:rFonts w:ascii="Georgia" w:hAnsi="Georgia" w:cs="Arial"/>
          <w:color w:val="000000"/>
          <w:sz w:val="28"/>
          <w:szCs w:val="28"/>
          <w:lang w:val="en-US"/>
        </w:rPr>
        <w:t>to</w:t>
      </w:r>
      <w:r w:rsidRPr="001C0856">
        <w:rPr>
          <w:rFonts w:ascii="Georgia" w:hAnsi="Georgia" w:cs="Arial"/>
          <w:color w:val="000000"/>
          <w:sz w:val="28"/>
          <w:szCs w:val="28"/>
          <w:lang w:val="uk-UA"/>
        </w:rPr>
        <w:t xml:space="preserve"> </w:t>
      </w:r>
      <w:r w:rsidRPr="001C0856">
        <w:rPr>
          <w:rFonts w:ascii="Georgia" w:hAnsi="Georgia" w:cs="Arial"/>
          <w:color w:val="000000"/>
          <w:sz w:val="28"/>
          <w:szCs w:val="28"/>
          <w:lang w:val="en-US"/>
        </w:rPr>
        <w:t>treat</w:t>
      </w:r>
      <w:r w:rsidRPr="001C0856">
        <w:rPr>
          <w:rFonts w:ascii="Georgia" w:hAnsi="Georgia" w:cs="Arial"/>
          <w:color w:val="000000"/>
          <w:sz w:val="28"/>
          <w:szCs w:val="28"/>
          <w:lang w:val="uk-UA"/>
        </w:rPr>
        <w:t xml:space="preserve"> - </w:t>
      </w:r>
      <w:r w:rsidRPr="001C0856">
        <w:rPr>
          <w:rFonts w:ascii="Georgia" w:hAnsi="Georgia" w:cs="Times"/>
          <w:color w:val="000000" w:themeColor="text1"/>
          <w:sz w:val="28"/>
          <w:szCs w:val="28"/>
          <w:lang w:val="en-US"/>
        </w:rPr>
        <w:t>модифікована популяція пацієнтів, які почали лікування</w:t>
      </w:r>
    </w:p>
    <w:p w14:paraId="1B6CA2EC"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bCs/>
          <w:color w:val="000000"/>
          <w:sz w:val="28"/>
          <w:szCs w:val="28"/>
          <w:lang w:val="en-US"/>
        </w:rPr>
        <w:t>STAG</w:t>
      </w:r>
      <w:r w:rsidRPr="001C0856">
        <w:rPr>
          <w:rFonts w:ascii="Georgia" w:hAnsi="Georgia" w:cs="Arial"/>
          <w:b/>
          <w:bCs/>
          <w:color w:val="000000"/>
          <w:sz w:val="28"/>
          <w:szCs w:val="28"/>
          <w:lang w:val="uk-UA"/>
        </w:rPr>
        <w:t>-</w:t>
      </w:r>
      <w:r w:rsidRPr="001C0856">
        <w:rPr>
          <w:rFonts w:ascii="Georgia" w:hAnsi="Georgia" w:cs="Arial"/>
          <w:b/>
          <w:bCs/>
          <w:color w:val="000000"/>
          <w:sz w:val="28"/>
          <w:szCs w:val="28"/>
          <w:lang w:val="en-US"/>
        </w:rPr>
        <w:t>TB</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uk-UA"/>
        </w:rPr>
        <w:t>- Стратегічно-технічна консультативна група з питань туберкульозу</w:t>
      </w:r>
    </w:p>
    <w:p w14:paraId="31B3085C" w14:textId="77777777" w:rsidR="00132CD4" w:rsidRPr="001C0856" w:rsidRDefault="00132CD4" w:rsidP="00CE1F69">
      <w:pPr>
        <w:autoSpaceDE w:val="0"/>
        <w:autoSpaceDN w:val="0"/>
        <w:adjustRightInd w:val="0"/>
        <w:spacing w:after="0" w:line="240" w:lineRule="auto"/>
        <w:jc w:val="both"/>
        <w:rPr>
          <w:rFonts w:ascii="Georgia" w:hAnsi="Georgia" w:cs="Arial"/>
          <w:color w:val="000000"/>
          <w:sz w:val="28"/>
          <w:szCs w:val="28"/>
          <w:lang w:val="uk-UA"/>
        </w:rPr>
      </w:pPr>
      <w:r w:rsidRPr="001C0856">
        <w:rPr>
          <w:rFonts w:ascii="Georgia" w:hAnsi="Georgia" w:cs="Arial"/>
          <w:b/>
          <w:bCs/>
          <w:color w:val="000000"/>
          <w:sz w:val="28"/>
          <w:szCs w:val="28"/>
          <w:lang w:val="en-US"/>
        </w:rPr>
        <w:t>USAID</w:t>
      </w:r>
      <w:r w:rsidRPr="001C0856">
        <w:rPr>
          <w:rFonts w:ascii="Georgia" w:hAnsi="Georgia" w:cs="Arial"/>
          <w:b/>
          <w:bCs/>
          <w:color w:val="000000"/>
          <w:sz w:val="28"/>
          <w:szCs w:val="28"/>
          <w:lang w:val="uk-UA"/>
        </w:rPr>
        <w:t xml:space="preserve"> </w:t>
      </w:r>
      <w:r w:rsidRPr="001C0856">
        <w:rPr>
          <w:rFonts w:ascii="Georgia" w:hAnsi="Georgia" w:cs="Arial"/>
          <w:color w:val="000000"/>
          <w:sz w:val="28"/>
          <w:szCs w:val="28"/>
          <w:lang w:val="uk-UA"/>
        </w:rPr>
        <w:t>Агентство США з міжнародного розвитку</w:t>
      </w:r>
    </w:p>
    <w:p w14:paraId="2537C808" w14:textId="77777777" w:rsidR="00D36754" w:rsidRPr="001C0856" w:rsidRDefault="00D36754" w:rsidP="00D36754">
      <w:pPr>
        <w:autoSpaceDE w:val="0"/>
        <w:autoSpaceDN w:val="0"/>
        <w:adjustRightInd w:val="0"/>
        <w:spacing w:after="0" w:line="240" w:lineRule="auto"/>
        <w:jc w:val="both"/>
        <w:rPr>
          <w:rFonts w:ascii="Georgia" w:hAnsi="Georgia" w:cs="Arial"/>
          <w:color w:val="FFFFFF"/>
          <w:lang w:val="en-US"/>
        </w:rPr>
      </w:pPr>
      <w:r w:rsidRPr="001C0856">
        <w:rPr>
          <w:rFonts w:ascii="Georgia" w:hAnsi="Georgia" w:cs="Arial"/>
          <w:color w:val="FFFFFF"/>
          <w:lang w:val="en-US"/>
        </w:rPr>
        <w:t>14</w:t>
      </w:r>
    </w:p>
    <w:p w14:paraId="166B9D9A" w14:textId="77777777" w:rsidR="00E568A1" w:rsidRPr="00255826" w:rsidRDefault="00E568A1" w:rsidP="0037724F">
      <w:pPr>
        <w:autoSpaceDE w:val="0"/>
        <w:autoSpaceDN w:val="0"/>
        <w:adjustRightInd w:val="0"/>
        <w:spacing w:after="0" w:line="240" w:lineRule="auto"/>
        <w:jc w:val="both"/>
        <w:rPr>
          <w:rFonts w:ascii="Arial" w:hAnsi="Arial" w:cs="Arial"/>
          <w:color w:val="FFFFFF"/>
          <w:lang w:val="en-US"/>
        </w:rPr>
      </w:pPr>
      <w:r w:rsidRPr="00255826">
        <w:rPr>
          <w:rFonts w:ascii="Arial" w:hAnsi="Arial" w:cs="Arial"/>
          <w:color w:val="FFFFFF"/>
          <w:lang w:val="en-US"/>
        </w:rPr>
        <w:t>14</w:t>
      </w:r>
    </w:p>
    <w:p w14:paraId="0F3EFFBE"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7EE5E287"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54305252"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5CD3089A"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26FDDC9B"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7404E5EB"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7AF570BD" w14:textId="77777777" w:rsidR="00132CD4" w:rsidRDefault="00132CD4" w:rsidP="009B51D9">
      <w:pPr>
        <w:autoSpaceDE w:val="0"/>
        <w:autoSpaceDN w:val="0"/>
        <w:adjustRightInd w:val="0"/>
        <w:spacing w:after="0" w:line="240" w:lineRule="auto"/>
        <w:jc w:val="both"/>
        <w:outlineLvl w:val="0"/>
        <w:rPr>
          <w:rFonts w:ascii="Arial" w:hAnsi="Arial" w:cs="Arial"/>
          <w:b/>
          <w:bCs/>
          <w:color w:val="833C0B" w:themeColor="accent2" w:themeShade="80"/>
          <w:sz w:val="48"/>
          <w:szCs w:val="48"/>
          <w:lang w:val="uk-UA"/>
        </w:rPr>
      </w:pPr>
    </w:p>
    <w:p w14:paraId="3A052851" w14:textId="77777777" w:rsidR="000F37B2" w:rsidRDefault="000F37B2" w:rsidP="009B51D9">
      <w:pPr>
        <w:autoSpaceDE w:val="0"/>
        <w:autoSpaceDN w:val="0"/>
        <w:adjustRightInd w:val="0"/>
        <w:spacing w:after="0" w:line="240" w:lineRule="auto"/>
        <w:jc w:val="both"/>
        <w:outlineLvl w:val="0"/>
        <w:rPr>
          <w:rFonts w:ascii="Arial" w:hAnsi="Arial" w:cs="Arial"/>
          <w:b/>
          <w:bCs/>
          <w:color w:val="6A2041"/>
          <w:sz w:val="48"/>
          <w:szCs w:val="48"/>
          <w:lang w:val="uk-UA"/>
        </w:rPr>
      </w:pPr>
    </w:p>
    <w:p w14:paraId="72E87201" w14:textId="77777777" w:rsidR="000F37B2" w:rsidRDefault="000F37B2" w:rsidP="009B51D9">
      <w:pPr>
        <w:autoSpaceDE w:val="0"/>
        <w:autoSpaceDN w:val="0"/>
        <w:adjustRightInd w:val="0"/>
        <w:spacing w:after="0" w:line="240" w:lineRule="auto"/>
        <w:jc w:val="both"/>
        <w:outlineLvl w:val="0"/>
        <w:rPr>
          <w:rFonts w:ascii="Arial" w:hAnsi="Arial" w:cs="Arial"/>
          <w:b/>
          <w:bCs/>
          <w:color w:val="6A2041"/>
          <w:sz w:val="48"/>
          <w:szCs w:val="48"/>
          <w:lang w:val="uk-UA"/>
        </w:rPr>
      </w:pPr>
    </w:p>
    <w:p w14:paraId="2D06B830" w14:textId="1A673FC4" w:rsidR="00E568A1" w:rsidRPr="00A32EE6" w:rsidRDefault="00AC042B" w:rsidP="009B51D9">
      <w:pPr>
        <w:autoSpaceDE w:val="0"/>
        <w:autoSpaceDN w:val="0"/>
        <w:adjustRightInd w:val="0"/>
        <w:spacing w:after="0" w:line="240" w:lineRule="auto"/>
        <w:jc w:val="both"/>
        <w:outlineLvl w:val="0"/>
        <w:rPr>
          <w:rFonts w:ascii="Arial" w:hAnsi="Arial" w:cs="Arial"/>
          <w:b/>
          <w:bCs/>
          <w:color w:val="6A2041"/>
          <w:sz w:val="48"/>
          <w:szCs w:val="48"/>
          <w:lang w:val="uk-UA"/>
        </w:rPr>
      </w:pPr>
      <w:r>
        <w:rPr>
          <w:noProof/>
          <w:sz w:val="20"/>
          <w:szCs w:val="20"/>
          <w:lang w:eastAsia="ru-RU"/>
        </w:rPr>
        <w:drawing>
          <wp:anchor distT="0" distB="0" distL="114300" distR="114300" simplePos="0" relativeHeight="251683840" behindDoc="1" locked="0" layoutInCell="0" allowOverlap="1" wp14:anchorId="0605F6F5" wp14:editId="2DDFC3B0">
            <wp:simplePos x="0" y="0"/>
            <wp:positionH relativeFrom="page">
              <wp:posOffset>618978</wp:posOffset>
            </wp:positionH>
            <wp:positionV relativeFrom="page">
              <wp:posOffset>119575</wp:posOffset>
            </wp:positionV>
            <wp:extent cx="802298" cy="567644"/>
            <wp:effectExtent l="0" t="0" r="10795" b="0"/>
            <wp:wrapNone/>
            <wp:docPr id="7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17373" cy="578310"/>
                    </a:xfrm>
                    <a:prstGeom prst="rect">
                      <a:avLst/>
                    </a:prstGeom>
                    <a:noFill/>
                  </pic:spPr>
                </pic:pic>
              </a:graphicData>
            </a:graphic>
            <wp14:sizeRelH relativeFrom="margin">
              <wp14:pctWidth>0</wp14:pctWidth>
            </wp14:sizeRelH>
            <wp14:sizeRelV relativeFrom="margin">
              <wp14:pctHeight>0</wp14:pctHeight>
            </wp14:sizeRelV>
          </wp:anchor>
        </w:drawing>
      </w:r>
      <w:r w:rsidR="00307864">
        <w:rPr>
          <w:noProof/>
          <w:sz w:val="20"/>
          <w:szCs w:val="20"/>
          <w:lang w:eastAsia="ru-RU"/>
        </w:rPr>
        <w:drawing>
          <wp:anchor distT="0" distB="0" distL="114300" distR="114300" simplePos="0" relativeHeight="251671552" behindDoc="1" locked="0" layoutInCell="0" allowOverlap="1" wp14:anchorId="56208926" wp14:editId="3A200734">
            <wp:simplePos x="0" y="0"/>
            <wp:positionH relativeFrom="page">
              <wp:posOffset>619858</wp:posOffset>
            </wp:positionH>
            <wp:positionV relativeFrom="page">
              <wp:posOffset>118843</wp:posOffset>
            </wp:positionV>
            <wp:extent cx="800930" cy="577678"/>
            <wp:effectExtent l="0" t="0" r="12065" b="6985"/>
            <wp:wrapNone/>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00930" cy="577678"/>
                    </a:xfrm>
                    <a:prstGeom prst="rect">
                      <a:avLst/>
                    </a:prstGeom>
                    <a:noFill/>
                  </pic:spPr>
                </pic:pic>
              </a:graphicData>
            </a:graphic>
            <wp14:sizeRelH relativeFrom="margin">
              <wp14:pctWidth>0</wp14:pctWidth>
            </wp14:sizeRelH>
            <wp14:sizeRelV relativeFrom="margin">
              <wp14:pctHeight>0</wp14:pctHeight>
            </wp14:sizeRelV>
          </wp:anchor>
        </w:drawing>
      </w:r>
      <w:r w:rsidR="00E568A1" w:rsidRPr="00A32EE6">
        <w:rPr>
          <w:rFonts w:ascii="Arial" w:hAnsi="Arial" w:cs="Arial"/>
          <w:b/>
          <w:bCs/>
          <w:color w:val="6A2041"/>
          <w:sz w:val="48"/>
          <w:szCs w:val="48"/>
          <w:lang w:val="uk-UA"/>
        </w:rPr>
        <w:t>Тимчасові рекомендації</w:t>
      </w:r>
    </w:p>
    <w:p w14:paraId="75D4E286" w14:textId="77777777" w:rsidR="00E568A1" w:rsidRPr="00A32EE6" w:rsidRDefault="00E568A1" w:rsidP="0037724F">
      <w:pPr>
        <w:autoSpaceDE w:val="0"/>
        <w:autoSpaceDN w:val="0"/>
        <w:adjustRightInd w:val="0"/>
        <w:spacing w:after="0" w:line="240" w:lineRule="auto"/>
        <w:jc w:val="both"/>
        <w:rPr>
          <w:rFonts w:ascii="Arial" w:hAnsi="Arial" w:cs="Arial"/>
          <w:b/>
          <w:bCs/>
          <w:color w:val="6A2041"/>
          <w:sz w:val="24"/>
          <w:szCs w:val="24"/>
          <w:lang w:val="en-US"/>
        </w:rPr>
      </w:pPr>
    </w:p>
    <w:p w14:paraId="03032DC3" w14:textId="4A5D8072" w:rsidR="00E568A1" w:rsidRPr="00A32EE6" w:rsidRDefault="007D3500" w:rsidP="00320329">
      <w:pPr>
        <w:autoSpaceDE w:val="0"/>
        <w:autoSpaceDN w:val="0"/>
        <w:adjustRightInd w:val="0"/>
        <w:spacing w:after="0" w:line="240" w:lineRule="auto"/>
        <w:rPr>
          <w:rFonts w:ascii="Arial" w:hAnsi="Arial" w:cs="Arial"/>
          <w:b/>
          <w:bCs/>
          <w:color w:val="6A2041"/>
          <w:sz w:val="36"/>
          <w:szCs w:val="36"/>
          <w:lang w:val="uk-UA"/>
        </w:rPr>
      </w:pPr>
      <w:r w:rsidRPr="00A32EE6">
        <w:rPr>
          <w:rFonts w:ascii="Arial" w:hAnsi="Arial" w:cs="Arial"/>
          <w:b/>
          <w:bCs/>
          <w:color w:val="6A2041"/>
          <w:sz w:val="36"/>
          <w:szCs w:val="36"/>
          <w:lang w:val="en-US"/>
        </w:rPr>
        <w:t>Застосування</w:t>
      </w:r>
      <w:r w:rsidR="001C0856" w:rsidRPr="00A32EE6">
        <w:rPr>
          <w:rFonts w:ascii="Arial" w:hAnsi="Arial" w:cs="Arial"/>
          <w:b/>
          <w:bCs/>
          <w:color w:val="6A2041"/>
          <w:sz w:val="36"/>
          <w:szCs w:val="36"/>
          <w:lang w:val="en-US"/>
        </w:rPr>
        <w:t xml:space="preserve"> бедакв</w:t>
      </w:r>
      <w:r w:rsidR="00AC042B">
        <w:rPr>
          <w:rFonts w:ascii="Arial" w:hAnsi="Arial" w:cs="Arial"/>
          <w:b/>
          <w:bCs/>
          <w:color w:val="6A2041"/>
          <w:sz w:val="36"/>
          <w:szCs w:val="36"/>
          <w:lang w:val="en-US"/>
        </w:rPr>
        <w:t>іліну у</w:t>
      </w:r>
      <w:r w:rsidR="00A32EE6" w:rsidRPr="00A32EE6">
        <w:rPr>
          <w:rFonts w:ascii="Arial" w:hAnsi="Arial" w:cs="Arial"/>
          <w:b/>
          <w:bCs/>
          <w:color w:val="6A2041"/>
          <w:sz w:val="36"/>
          <w:szCs w:val="36"/>
          <w:lang w:val="en-US"/>
        </w:rPr>
        <w:t xml:space="preserve"> лікуванні</w:t>
      </w:r>
      <w:r w:rsidR="00E568A1" w:rsidRPr="00A32EE6">
        <w:rPr>
          <w:rFonts w:ascii="Arial" w:hAnsi="Arial" w:cs="Arial"/>
          <w:b/>
          <w:bCs/>
          <w:color w:val="6A2041"/>
          <w:sz w:val="36"/>
          <w:szCs w:val="36"/>
          <w:lang w:val="en-US"/>
        </w:rPr>
        <w:t xml:space="preserve"> </w:t>
      </w:r>
      <w:r w:rsidR="00A32EE6" w:rsidRPr="00A32EE6">
        <w:rPr>
          <w:rFonts w:ascii="Arial" w:hAnsi="Arial" w:cs="Arial"/>
          <w:b/>
          <w:bCs/>
          <w:color w:val="6A2041"/>
          <w:sz w:val="36"/>
          <w:szCs w:val="36"/>
          <w:lang w:val="en-US"/>
        </w:rPr>
        <w:t>мультирезистентного туберкульозу</w:t>
      </w:r>
    </w:p>
    <w:p w14:paraId="2BFF47B7" w14:textId="77777777" w:rsidR="00E568A1" w:rsidRPr="00A32EE6" w:rsidRDefault="00E568A1" w:rsidP="00320329">
      <w:pPr>
        <w:autoSpaceDE w:val="0"/>
        <w:autoSpaceDN w:val="0"/>
        <w:adjustRightInd w:val="0"/>
        <w:spacing w:after="0" w:line="240" w:lineRule="auto"/>
        <w:rPr>
          <w:rFonts w:ascii="Arial" w:hAnsi="Arial" w:cs="Arial"/>
          <w:b/>
          <w:bCs/>
          <w:color w:val="6A2041"/>
          <w:sz w:val="36"/>
          <w:szCs w:val="36"/>
          <w:lang w:val="uk-UA"/>
        </w:rPr>
      </w:pPr>
    </w:p>
    <w:p w14:paraId="7B6F01F5" w14:textId="77777777" w:rsidR="00E568A1" w:rsidRPr="00A32EE6" w:rsidRDefault="00E568A1" w:rsidP="009B51D9">
      <w:pPr>
        <w:autoSpaceDE w:val="0"/>
        <w:autoSpaceDN w:val="0"/>
        <w:adjustRightInd w:val="0"/>
        <w:spacing w:after="0" w:line="240" w:lineRule="auto"/>
        <w:jc w:val="both"/>
        <w:outlineLvl w:val="0"/>
        <w:rPr>
          <w:rFonts w:ascii="Arial" w:hAnsi="Arial" w:cs="Arial"/>
          <w:b/>
          <w:bCs/>
          <w:color w:val="6A2041"/>
          <w:sz w:val="36"/>
          <w:szCs w:val="36"/>
          <w:lang w:val="uk-UA"/>
        </w:rPr>
      </w:pPr>
      <w:r w:rsidRPr="00A32EE6">
        <w:rPr>
          <w:rFonts w:ascii="Arial" w:hAnsi="Arial" w:cs="Arial"/>
          <w:b/>
          <w:bCs/>
          <w:color w:val="6A2041"/>
          <w:sz w:val="36"/>
          <w:szCs w:val="36"/>
        </w:rPr>
        <w:t xml:space="preserve">1. </w:t>
      </w:r>
      <w:r w:rsidR="00441A3F" w:rsidRPr="00A32EE6">
        <w:rPr>
          <w:rFonts w:ascii="Arial" w:hAnsi="Arial" w:cs="Arial"/>
          <w:b/>
          <w:bCs/>
          <w:color w:val="6A2041"/>
          <w:sz w:val="36"/>
          <w:szCs w:val="36"/>
          <w:lang w:val="uk-UA"/>
        </w:rPr>
        <w:t>Вступ</w:t>
      </w:r>
    </w:p>
    <w:p w14:paraId="6CAB19F9" w14:textId="77777777" w:rsidR="00E568A1" w:rsidRPr="00713994" w:rsidRDefault="00E568A1" w:rsidP="0037724F">
      <w:pPr>
        <w:autoSpaceDE w:val="0"/>
        <w:autoSpaceDN w:val="0"/>
        <w:adjustRightInd w:val="0"/>
        <w:spacing w:after="0" w:line="240" w:lineRule="auto"/>
        <w:jc w:val="both"/>
        <w:rPr>
          <w:rFonts w:ascii="Arial" w:hAnsi="Arial" w:cs="Arial"/>
          <w:b/>
          <w:bCs/>
          <w:color w:val="000000"/>
          <w:sz w:val="16"/>
          <w:szCs w:val="16"/>
        </w:rPr>
      </w:pPr>
    </w:p>
    <w:p w14:paraId="7B105CF7" w14:textId="59A37765" w:rsidR="00E568A1" w:rsidRPr="00FF25F8" w:rsidRDefault="00E568A1" w:rsidP="0037724F">
      <w:pPr>
        <w:autoSpaceDE w:val="0"/>
        <w:autoSpaceDN w:val="0"/>
        <w:adjustRightInd w:val="0"/>
        <w:spacing w:after="0" w:line="240" w:lineRule="auto"/>
        <w:jc w:val="both"/>
        <w:rPr>
          <w:rFonts w:ascii="Arial" w:hAnsi="Arial" w:cs="Arial"/>
          <w:color w:val="000000"/>
          <w:lang w:val="uk-UA"/>
        </w:rPr>
      </w:pPr>
      <w:r w:rsidRPr="007E61DA">
        <w:rPr>
          <w:rFonts w:ascii="Arial" w:hAnsi="Arial" w:cs="Arial"/>
          <w:color w:val="000000"/>
          <w:lang w:val="uk-UA"/>
        </w:rPr>
        <w:t>Поява медикаментозної резистентності є серйозною загрозою для лікування</w:t>
      </w:r>
      <w:r w:rsidR="0028211E">
        <w:rPr>
          <w:rFonts w:ascii="Arial" w:hAnsi="Arial" w:cs="Arial"/>
          <w:color w:val="000000"/>
          <w:lang w:val="uk-UA"/>
        </w:rPr>
        <w:t xml:space="preserve"> ТБ</w:t>
      </w:r>
      <w:r w:rsidRPr="007E61DA">
        <w:rPr>
          <w:rFonts w:ascii="Arial" w:hAnsi="Arial" w:cs="Arial"/>
          <w:color w:val="000000"/>
          <w:lang w:val="uk-UA"/>
        </w:rPr>
        <w:t xml:space="preserve"> та боротьби з </w:t>
      </w:r>
      <w:r w:rsidR="0028211E">
        <w:rPr>
          <w:rFonts w:ascii="Arial" w:hAnsi="Arial" w:cs="Arial"/>
          <w:color w:val="000000"/>
          <w:lang w:val="uk-UA"/>
        </w:rPr>
        <w:t xml:space="preserve">ним </w:t>
      </w:r>
      <w:r w:rsidRPr="007E61DA">
        <w:rPr>
          <w:rFonts w:ascii="Arial" w:hAnsi="Arial" w:cs="Arial"/>
          <w:color w:val="000000"/>
          <w:lang w:val="uk-UA"/>
        </w:rPr>
        <w:t>у всьому світі. За оцінками Всесвітньої організації охорони здоров'я (ВООЗ), щорічно у світі налічується понад півмільйона випадків захворювань на мул</w:t>
      </w:r>
      <w:r w:rsidR="001C0856">
        <w:rPr>
          <w:rFonts w:ascii="Arial" w:hAnsi="Arial" w:cs="Arial"/>
          <w:color w:val="000000"/>
          <w:lang w:val="uk-UA"/>
        </w:rPr>
        <w:t xml:space="preserve">ьтирезистентний туберкульоз (MР </w:t>
      </w:r>
      <w:r w:rsidRPr="007E61DA">
        <w:rPr>
          <w:rFonts w:ascii="Arial" w:hAnsi="Arial" w:cs="Arial"/>
          <w:color w:val="000000"/>
          <w:lang w:val="uk-UA"/>
        </w:rPr>
        <w:t>TБ) (тобто, стійкий до, принай</w:t>
      </w:r>
      <w:r>
        <w:rPr>
          <w:rFonts w:ascii="Arial" w:hAnsi="Arial" w:cs="Arial"/>
          <w:color w:val="000000"/>
          <w:lang w:val="uk-UA"/>
        </w:rPr>
        <w:t>мні, рифампіцину та ізоніазиду)</w:t>
      </w:r>
      <w:r w:rsidRPr="007E61DA">
        <w:rPr>
          <w:rFonts w:ascii="Arial" w:hAnsi="Arial" w:cs="Arial"/>
          <w:color w:val="000000"/>
          <w:lang w:val="uk-UA"/>
        </w:rPr>
        <w:t>.</w:t>
      </w:r>
      <w:r w:rsidRPr="0002427E">
        <w:rPr>
          <w:rFonts w:ascii="Arial" w:hAnsi="Arial" w:cs="Arial"/>
          <w:color w:val="000000"/>
          <w:vertAlign w:val="superscript"/>
          <w:lang w:val="uk-UA"/>
        </w:rPr>
        <w:t>6</w:t>
      </w:r>
      <w:r w:rsidRPr="007E61DA">
        <w:rPr>
          <w:rFonts w:ascii="Arial" w:hAnsi="Arial" w:cs="Arial"/>
          <w:color w:val="000000"/>
          <w:lang w:val="uk-UA"/>
        </w:rPr>
        <w:t xml:space="preserve">  З них </w:t>
      </w:r>
      <w:r w:rsidR="0028211E">
        <w:rPr>
          <w:rFonts w:ascii="Arial" w:hAnsi="Arial" w:cs="Arial"/>
          <w:color w:val="000000"/>
          <w:lang w:val="uk-UA"/>
        </w:rPr>
        <w:t xml:space="preserve">про </w:t>
      </w:r>
      <w:r w:rsidRPr="007E61DA">
        <w:rPr>
          <w:rFonts w:ascii="Arial" w:hAnsi="Arial" w:cs="Arial"/>
          <w:color w:val="000000"/>
          <w:lang w:val="uk-UA"/>
        </w:rPr>
        <w:t xml:space="preserve">менше </w:t>
      </w:r>
      <w:r w:rsidR="005B0D9E">
        <w:rPr>
          <w:rFonts w:ascii="Arial" w:hAnsi="Arial" w:cs="Arial"/>
          <w:color w:val="000000"/>
          <w:lang w:val="uk-UA"/>
        </w:rPr>
        <w:t xml:space="preserve">ніж </w:t>
      </w:r>
      <w:r w:rsidRPr="007E61DA">
        <w:rPr>
          <w:rFonts w:ascii="Arial" w:hAnsi="Arial" w:cs="Arial"/>
          <w:color w:val="000000"/>
          <w:lang w:val="uk-UA"/>
        </w:rPr>
        <w:t>20 % було повідомлено ВООЗ,</w:t>
      </w:r>
      <w:r w:rsidR="005B0D9E">
        <w:rPr>
          <w:rFonts w:ascii="Arial" w:hAnsi="Arial" w:cs="Arial"/>
          <w:color w:val="000000"/>
          <w:lang w:val="uk-UA"/>
        </w:rPr>
        <w:t xml:space="preserve"> в основному внаслідок серйозних</w:t>
      </w:r>
      <w:r w:rsidRPr="007E61DA">
        <w:rPr>
          <w:rFonts w:ascii="Arial" w:hAnsi="Arial" w:cs="Arial"/>
          <w:color w:val="000000"/>
          <w:lang w:val="uk-UA"/>
        </w:rPr>
        <w:t xml:space="preserve"> прогалин діагнос</w:t>
      </w:r>
      <w:r w:rsidR="0028211E">
        <w:rPr>
          <w:rFonts w:ascii="Arial" w:hAnsi="Arial" w:cs="Arial"/>
          <w:color w:val="000000"/>
          <w:lang w:val="uk-UA"/>
        </w:rPr>
        <w:t>тичних і лікувальних можливостей</w:t>
      </w:r>
      <w:r w:rsidRPr="007E61DA">
        <w:rPr>
          <w:rFonts w:ascii="Arial" w:hAnsi="Arial" w:cs="Arial"/>
          <w:color w:val="000000"/>
          <w:lang w:val="uk-UA"/>
        </w:rPr>
        <w:t xml:space="preserve"> у більшості країн.</w:t>
      </w:r>
      <w:r>
        <w:rPr>
          <w:rFonts w:ascii="Arial" w:hAnsi="Arial" w:cs="Arial"/>
          <w:color w:val="000000"/>
          <w:lang w:val="uk-UA"/>
        </w:rPr>
        <w:t xml:space="preserve"> </w:t>
      </w:r>
      <w:r w:rsidRPr="00FF25F8">
        <w:rPr>
          <w:rFonts w:ascii="Arial" w:hAnsi="Arial" w:cs="Arial"/>
          <w:color w:val="000000"/>
          <w:lang w:val="uk-UA"/>
        </w:rPr>
        <w:t>Крім того, на даний час</w:t>
      </w:r>
      <w:r w:rsidR="005B0D9E">
        <w:rPr>
          <w:rFonts w:ascii="Arial" w:hAnsi="Arial" w:cs="Arial"/>
          <w:color w:val="000000"/>
          <w:lang w:val="uk-UA"/>
        </w:rPr>
        <w:t>,</w:t>
      </w:r>
      <w:r w:rsidRPr="00FF25F8">
        <w:rPr>
          <w:rFonts w:ascii="Arial" w:hAnsi="Arial" w:cs="Arial"/>
          <w:color w:val="000000"/>
          <w:lang w:val="uk-UA"/>
        </w:rPr>
        <w:t xml:space="preserve"> 84 країни повідомили про принаймні один випадок туберкульозу з широк</w:t>
      </w:r>
      <w:r w:rsidR="001C0856">
        <w:rPr>
          <w:rFonts w:ascii="Arial" w:hAnsi="Arial" w:cs="Arial"/>
          <w:color w:val="000000"/>
          <w:lang w:val="uk-UA"/>
        </w:rPr>
        <w:t xml:space="preserve">ою медикаментозною стійкістю (ШЛС </w:t>
      </w:r>
      <w:r w:rsidRPr="00FF25F8">
        <w:rPr>
          <w:rFonts w:ascii="Arial" w:hAnsi="Arial" w:cs="Arial"/>
          <w:color w:val="000000"/>
          <w:lang w:val="uk-UA"/>
        </w:rPr>
        <w:t xml:space="preserve">TБ) - форма туберкульозу, стійкої до щонайменше чотирьох основних протитуберкульозних препаратів (рифампіцину, ізоніазиду, фторхінолонів та  ін'єкційних препаратів </w:t>
      </w:r>
      <w:r w:rsidR="00F0605F">
        <w:rPr>
          <w:rFonts w:ascii="Arial" w:hAnsi="Arial" w:cs="Arial"/>
          <w:color w:val="000000"/>
          <w:lang w:val="uk-UA"/>
        </w:rPr>
        <w:t>другого ряду</w:t>
      </w:r>
      <w:r w:rsidRPr="00FF25F8">
        <w:rPr>
          <w:rFonts w:ascii="Arial" w:hAnsi="Arial" w:cs="Arial"/>
          <w:color w:val="000000"/>
          <w:lang w:val="uk-UA"/>
        </w:rPr>
        <w:t>), та пов'язаної з високою смертністю, особливо серед людей, що живуть з вірусом імунодефіциту людини (</w:t>
      </w:r>
      <w:r w:rsidR="005B0D9E">
        <w:rPr>
          <w:rFonts w:ascii="Arial" w:hAnsi="Arial" w:cs="Arial"/>
          <w:color w:val="000000"/>
          <w:lang w:val="uk-UA"/>
        </w:rPr>
        <w:t xml:space="preserve">далі </w:t>
      </w:r>
      <w:r w:rsidRPr="00FF25F8">
        <w:rPr>
          <w:rFonts w:ascii="Arial" w:hAnsi="Arial" w:cs="Arial"/>
          <w:color w:val="000000"/>
          <w:lang w:val="uk-UA"/>
        </w:rPr>
        <w:t>ЛЖВ).</w:t>
      </w:r>
    </w:p>
    <w:p w14:paraId="3DCB6525" w14:textId="77777777" w:rsidR="00E568A1" w:rsidRPr="007E61DA" w:rsidRDefault="00E568A1" w:rsidP="0037724F">
      <w:pPr>
        <w:autoSpaceDE w:val="0"/>
        <w:autoSpaceDN w:val="0"/>
        <w:adjustRightInd w:val="0"/>
        <w:spacing w:after="0" w:line="240" w:lineRule="auto"/>
        <w:jc w:val="both"/>
        <w:rPr>
          <w:rFonts w:ascii="Arial" w:hAnsi="Arial" w:cs="Arial"/>
          <w:color w:val="000000"/>
          <w:lang w:val="uk-UA"/>
        </w:rPr>
      </w:pPr>
    </w:p>
    <w:p w14:paraId="3EF40832" w14:textId="71F55C2B" w:rsidR="00E568A1" w:rsidRPr="007B0BB2" w:rsidRDefault="005B0D9E"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Глобальне застосування</w:t>
      </w:r>
      <w:r w:rsidR="00E568A1" w:rsidRPr="00FF25F8">
        <w:rPr>
          <w:rFonts w:ascii="Arial" w:hAnsi="Arial" w:cs="Arial"/>
          <w:color w:val="000000"/>
          <w:lang w:val="uk-UA"/>
        </w:rPr>
        <w:t xml:space="preserve"> нових, ш</w:t>
      </w:r>
      <w:r>
        <w:rPr>
          <w:rFonts w:ascii="Arial" w:hAnsi="Arial" w:cs="Arial"/>
          <w:color w:val="000000"/>
          <w:lang w:val="uk-UA"/>
        </w:rPr>
        <w:t>видких діагностичних тестів на виявлення медикаментозної стійкості, таких як аналіз Xpert MTB/RIF, збільшує попит на ліки для</w:t>
      </w:r>
      <w:r w:rsidR="00E568A1" w:rsidRPr="00FF25F8">
        <w:rPr>
          <w:rFonts w:ascii="Arial" w:hAnsi="Arial" w:cs="Arial"/>
          <w:color w:val="000000"/>
          <w:lang w:val="uk-UA"/>
        </w:rPr>
        <w:t xml:space="preserve"> пацієнтів з </w:t>
      </w:r>
      <w:r>
        <w:rPr>
          <w:rFonts w:ascii="Arial" w:hAnsi="Arial" w:cs="Arial"/>
          <w:color w:val="000000"/>
          <w:lang w:val="uk-UA"/>
        </w:rPr>
        <w:t>МР</w:t>
      </w:r>
      <w:r w:rsidR="00E568A1" w:rsidRPr="00FF25F8">
        <w:rPr>
          <w:rFonts w:ascii="Arial" w:hAnsi="Arial" w:cs="Arial"/>
          <w:color w:val="000000"/>
          <w:lang w:val="uk-UA"/>
        </w:rPr>
        <w:t xml:space="preserve"> ТБ. Існуючі режими лікування </w:t>
      </w:r>
      <w:r>
        <w:rPr>
          <w:rFonts w:ascii="Arial" w:hAnsi="Arial" w:cs="Arial"/>
          <w:color w:val="000000"/>
          <w:lang w:val="uk-UA"/>
        </w:rPr>
        <w:t>МР ТБ</w:t>
      </w:r>
      <w:r w:rsidR="0028211E">
        <w:rPr>
          <w:rFonts w:ascii="Arial" w:hAnsi="Arial" w:cs="Arial"/>
          <w:color w:val="000000"/>
          <w:lang w:val="uk-UA"/>
        </w:rPr>
        <w:t xml:space="preserve"> далекі</w:t>
      </w:r>
      <w:r w:rsidR="00E568A1" w:rsidRPr="00FF25F8">
        <w:rPr>
          <w:rFonts w:ascii="Arial" w:hAnsi="Arial" w:cs="Arial"/>
          <w:color w:val="000000"/>
          <w:lang w:val="uk-UA"/>
        </w:rPr>
        <w:t xml:space="preserve"> від задовільних.</w:t>
      </w:r>
      <w:r w:rsidR="00E568A1">
        <w:rPr>
          <w:rFonts w:ascii="Arial" w:hAnsi="Arial" w:cs="Arial"/>
          <w:color w:val="000000"/>
          <w:lang w:val="uk-UA"/>
        </w:rPr>
        <w:t xml:space="preserve"> </w:t>
      </w:r>
      <w:r w:rsidR="00E568A1" w:rsidRPr="003F0C5C">
        <w:rPr>
          <w:rFonts w:ascii="Arial" w:hAnsi="Arial" w:cs="Arial"/>
          <w:color w:val="000000"/>
          <w:lang w:val="uk-UA"/>
        </w:rPr>
        <w:t>Враховуючи, що більшість пацієнтів з медикаментозно чутливим ТБ</w:t>
      </w:r>
      <w:r w:rsidR="0028211E">
        <w:rPr>
          <w:rFonts w:ascii="Arial" w:hAnsi="Arial" w:cs="Arial"/>
          <w:color w:val="000000"/>
          <w:lang w:val="uk-UA"/>
        </w:rPr>
        <w:t>,</w:t>
      </w:r>
      <w:r w:rsidR="00E568A1" w:rsidRPr="003F0C5C">
        <w:rPr>
          <w:rFonts w:ascii="Arial" w:hAnsi="Arial" w:cs="Arial"/>
          <w:color w:val="000000"/>
          <w:lang w:val="uk-UA"/>
        </w:rPr>
        <w:t xml:space="preserve"> зазвичай</w:t>
      </w:r>
      <w:r w:rsidR="0028211E">
        <w:rPr>
          <w:rFonts w:ascii="Arial" w:hAnsi="Arial" w:cs="Arial"/>
          <w:color w:val="000000"/>
          <w:lang w:val="uk-UA"/>
        </w:rPr>
        <w:t>,</w:t>
      </w:r>
      <w:r>
        <w:rPr>
          <w:rFonts w:ascii="Arial" w:hAnsi="Arial" w:cs="Arial"/>
          <w:color w:val="000000"/>
          <w:lang w:val="uk-UA"/>
        </w:rPr>
        <w:t xml:space="preserve"> можна успішно вилікувати прот</w:t>
      </w:r>
      <w:r w:rsidR="00E568A1" w:rsidRPr="003F0C5C">
        <w:rPr>
          <w:rFonts w:ascii="Arial" w:hAnsi="Arial" w:cs="Arial"/>
          <w:color w:val="000000"/>
          <w:lang w:val="uk-UA"/>
        </w:rPr>
        <w:t>я</w:t>
      </w:r>
      <w:r>
        <w:rPr>
          <w:rFonts w:ascii="Arial" w:hAnsi="Arial" w:cs="Arial"/>
          <w:color w:val="000000"/>
          <w:lang w:val="uk-UA"/>
        </w:rPr>
        <w:t>г</w:t>
      </w:r>
      <w:r w:rsidR="00E568A1" w:rsidRPr="003F0C5C">
        <w:rPr>
          <w:rFonts w:ascii="Arial" w:hAnsi="Arial" w:cs="Arial"/>
          <w:color w:val="000000"/>
          <w:lang w:val="uk-UA"/>
        </w:rPr>
        <w:t>ом</w:t>
      </w:r>
      <w:r>
        <w:rPr>
          <w:rFonts w:ascii="Arial" w:hAnsi="Arial" w:cs="Arial"/>
          <w:color w:val="000000"/>
          <w:lang w:val="uk-UA"/>
        </w:rPr>
        <w:t xml:space="preserve"> 6-місячного курсу лікування, </w:t>
      </w:r>
      <w:r w:rsidR="00C439DE">
        <w:rPr>
          <w:rFonts w:ascii="Arial" w:hAnsi="Arial" w:cs="Arial"/>
          <w:color w:val="000000"/>
          <w:lang w:val="uk-UA"/>
        </w:rPr>
        <w:t xml:space="preserve">період лікуваня </w:t>
      </w:r>
      <w:r w:rsidR="00E568A1" w:rsidRPr="003F0C5C">
        <w:rPr>
          <w:rFonts w:ascii="Arial" w:hAnsi="Arial" w:cs="Arial"/>
          <w:color w:val="000000"/>
          <w:lang w:val="uk-UA"/>
        </w:rPr>
        <w:t>біль</w:t>
      </w:r>
      <w:r w:rsidR="00C439DE">
        <w:rPr>
          <w:rFonts w:ascii="Arial" w:hAnsi="Arial" w:cs="Arial"/>
          <w:color w:val="000000"/>
          <w:lang w:val="uk-UA"/>
        </w:rPr>
        <w:t>шості</w:t>
      </w:r>
      <w:r w:rsidR="00E568A1" w:rsidRPr="003F0C5C">
        <w:rPr>
          <w:rFonts w:ascii="Arial" w:hAnsi="Arial" w:cs="Arial"/>
          <w:color w:val="000000"/>
          <w:lang w:val="uk-UA"/>
        </w:rPr>
        <w:t xml:space="preserve"> випадків </w:t>
      </w:r>
      <w:r w:rsidR="009B51D9">
        <w:rPr>
          <w:rFonts w:ascii="Arial" w:hAnsi="Arial" w:cs="Arial"/>
          <w:color w:val="000000"/>
          <w:lang w:val="uk-UA"/>
        </w:rPr>
        <w:t>МР ТБ</w:t>
      </w:r>
      <w:r w:rsidR="00E568A1" w:rsidRPr="003F0C5C">
        <w:rPr>
          <w:rFonts w:ascii="Arial" w:hAnsi="Arial" w:cs="Arial"/>
          <w:color w:val="000000"/>
          <w:lang w:val="uk-UA"/>
        </w:rPr>
        <w:t xml:space="preserve"> </w:t>
      </w:r>
      <w:r w:rsidR="00C439DE">
        <w:rPr>
          <w:rFonts w:ascii="Arial" w:hAnsi="Arial" w:cs="Arial"/>
          <w:color w:val="000000"/>
          <w:lang w:val="uk-UA"/>
        </w:rPr>
        <w:t>становить 20 місяців і більше та</w:t>
      </w:r>
      <w:r w:rsidR="00E568A1" w:rsidRPr="003F0C5C">
        <w:rPr>
          <w:rFonts w:ascii="Arial" w:hAnsi="Arial" w:cs="Arial"/>
          <w:color w:val="000000"/>
          <w:lang w:val="uk-UA"/>
        </w:rPr>
        <w:t xml:space="preserve"> вимагає щоденного прийому ліків, які є більш токсичними та менш ефективними, ніж ті, що застосовуються для лікування медикаментозно чутливого ТБ.</w:t>
      </w:r>
      <w:r w:rsidR="00E568A1">
        <w:rPr>
          <w:rFonts w:ascii="Arial" w:hAnsi="Arial" w:cs="Arial"/>
          <w:color w:val="000000"/>
          <w:lang w:val="uk-UA"/>
        </w:rPr>
        <w:t xml:space="preserve"> </w:t>
      </w:r>
      <w:r w:rsidR="00E568A1" w:rsidRPr="007B0BB2">
        <w:rPr>
          <w:rFonts w:ascii="Arial" w:hAnsi="Arial" w:cs="Arial"/>
          <w:color w:val="000000"/>
          <w:lang w:val="uk-UA"/>
        </w:rPr>
        <w:t>Серед пацієнтів з мультирезистентним ТБ, які розпочали лікування в у всьому світуі у 2009 році, лише 48% успішно про</w:t>
      </w:r>
      <w:r w:rsidR="00C439DE">
        <w:rPr>
          <w:rFonts w:ascii="Arial" w:hAnsi="Arial" w:cs="Arial"/>
          <w:color w:val="000000"/>
          <w:lang w:val="uk-UA"/>
        </w:rPr>
        <w:t>йшли лікування</w:t>
      </w:r>
      <w:r w:rsidR="00E568A1" w:rsidRPr="007B0BB2">
        <w:rPr>
          <w:rFonts w:ascii="Arial" w:hAnsi="Arial" w:cs="Arial"/>
          <w:color w:val="000000"/>
          <w:lang w:val="uk-UA"/>
        </w:rPr>
        <w:t xml:space="preserve"> </w:t>
      </w:r>
      <w:r w:rsidR="00C439DE">
        <w:rPr>
          <w:rFonts w:ascii="Arial" w:hAnsi="Arial" w:cs="Arial"/>
          <w:color w:val="000000"/>
          <w:lang w:val="uk-UA"/>
        </w:rPr>
        <w:t xml:space="preserve">- показник смертності становить 15% та припинення лікування і врата звязку з пацієнтом - 28% (зазвичай пов'язаного з побічними </w:t>
      </w:r>
      <w:r w:rsidR="00E568A1" w:rsidRPr="007B0BB2">
        <w:rPr>
          <w:rFonts w:ascii="Arial" w:hAnsi="Arial" w:cs="Arial"/>
          <w:color w:val="000000"/>
          <w:lang w:val="uk-UA"/>
        </w:rPr>
        <w:t>реакціями на ліки, серед інших факторів</w:t>
      </w:r>
      <w:r w:rsidR="00C439DE">
        <w:rPr>
          <w:rFonts w:ascii="Arial" w:hAnsi="Arial" w:cs="Arial"/>
          <w:color w:val="000000"/>
          <w:lang w:val="uk-UA"/>
        </w:rPr>
        <w:t>)</w:t>
      </w:r>
      <w:r w:rsidR="00E568A1" w:rsidRPr="007B0BB2">
        <w:rPr>
          <w:rFonts w:ascii="Arial" w:hAnsi="Arial" w:cs="Arial"/>
          <w:color w:val="000000"/>
          <w:lang w:val="uk-UA"/>
        </w:rPr>
        <w:t>.</w:t>
      </w:r>
      <w:r w:rsidR="00E568A1" w:rsidRPr="0002427E">
        <w:rPr>
          <w:rFonts w:ascii="Arial" w:hAnsi="Arial" w:cs="Arial"/>
          <w:color w:val="000000"/>
          <w:vertAlign w:val="superscript"/>
          <w:lang w:val="uk-UA"/>
        </w:rPr>
        <w:t>7</w:t>
      </w:r>
      <w:r w:rsidR="00E568A1" w:rsidRPr="007B0BB2">
        <w:rPr>
          <w:rFonts w:ascii="Arial" w:hAnsi="Arial" w:cs="Arial"/>
          <w:color w:val="000000"/>
          <w:lang w:val="uk-UA"/>
        </w:rPr>
        <w:t xml:space="preserve"> У 14 країнах у підгрупі із 200 пацієнтів, хворих на </w:t>
      </w:r>
      <w:r w:rsidR="00C439DE">
        <w:rPr>
          <w:rFonts w:ascii="Arial" w:hAnsi="Arial" w:cs="Arial"/>
          <w:color w:val="000000"/>
          <w:lang w:val="uk-UA"/>
        </w:rPr>
        <w:t xml:space="preserve">МР </w:t>
      </w:r>
      <w:r w:rsidR="00E568A1" w:rsidRPr="007B0BB2">
        <w:rPr>
          <w:rFonts w:ascii="Arial" w:hAnsi="Arial" w:cs="Arial"/>
          <w:color w:val="000000"/>
          <w:lang w:val="uk-UA"/>
        </w:rPr>
        <w:t>ТБ</w:t>
      </w:r>
      <w:r w:rsidR="0028211E">
        <w:rPr>
          <w:rFonts w:ascii="Arial" w:hAnsi="Arial" w:cs="Arial"/>
          <w:color w:val="000000"/>
          <w:lang w:val="uk-UA"/>
        </w:rPr>
        <w:t>,</w:t>
      </w:r>
      <w:r w:rsidR="00E568A1" w:rsidRPr="007B0BB2">
        <w:rPr>
          <w:rFonts w:ascii="Arial" w:hAnsi="Arial" w:cs="Arial"/>
          <w:color w:val="000000"/>
          <w:lang w:val="uk-UA"/>
        </w:rPr>
        <w:t xml:space="preserve"> показник успішного лікуван</w:t>
      </w:r>
      <w:r w:rsidR="00C439DE">
        <w:rPr>
          <w:rFonts w:ascii="Arial" w:hAnsi="Arial" w:cs="Arial"/>
          <w:color w:val="000000"/>
          <w:lang w:val="uk-UA"/>
        </w:rPr>
        <w:t>ня становив лише 33% у цілому, а показник смертності склав 26%</w:t>
      </w:r>
      <w:r w:rsidR="00E568A1" w:rsidRPr="007B0BB2">
        <w:rPr>
          <w:rFonts w:ascii="Arial" w:hAnsi="Arial" w:cs="Arial"/>
          <w:color w:val="000000"/>
          <w:lang w:val="uk-UA"/>
        </w:rPr>
        <w:t>. Тому</w:t>
      </w:r>
      <w:r w:rsidR="00C439DE">
        <w:rPr>
          <w:rFonts w:ascii="Arial" w:hAnsi="Arial" w:cs="Arial"/>
          <w:color w:val="000000"/>
          <w:lang w:val="uk-UA"/>
        </w:rPr>
        <w:t>, вкрай</w:t>
      </w:r>
      <w:r w:rsidR="00E568A1" w:rsidRPr="007B0BB2">
        <w:rPr>
          <w:rFonts w:ascii="Arial" w:hAnsi="Arial" w:cs="Arial"/>
          <w:color w:val="000000"/>
          <w:lang w:val="uk-UA"/>
        </w:rPr>
        <w:t xml:space="preserve"> необхідні ефективні нові ліки та схеми лікування для поліпшення безпечно</w:t>
      </w:r>
      <w:r w:rsidR="0028211E">
        <w:rPr>
          <w:rFonts w:ascii="Arial" w:hAnsi="Arial" w:cs="Arial"/>
          <w:color w:val="000000"/>
          <w:lang w:val="uk-UA"/>
        </w:rPr>
        <w:t>сті та ефективності лікування і</w:t>
      </w:r>
      <w:r w:rsidR="00E568A1" w:rsidRPr="007B0BB2">
        <w:rPr>
          <w:rFonts w:ascii="Arial" w:hAnsi="Arial" w:cs="Arial"/>
          <w:color w:val="000000"/>
          <w:lang w:val="uk-UA"/>
        </w:rPr>
        <w:t xml:space="preserve"> зменшення страждання та смертності пацієнтів.</w:t>
      </w:r>
    </w:p>
    <w:p w14:paraId="32EB3224" w14:textId="77777777" w:rsidR="00E568A1" w:rsidRDefault="00E568A1" w:rsidP="0002427E">
      <w:pPr>
        <w:autoSpaceDE w:val="0"/>
        <w:autoSpaceDN w:val="0"/>
        <w:adjustRightInd w:val="0"/>
        <w:spacing w:after="0" w:line="240" w:lineRule="auto"/>
        <w:jc w:val="both"/>
        <w:rPr>
          <w:rFonts w:ascii="Arial" w:hAnsi="Arial" w:cs="Arial"/>
          <w:color w:val="000000"/>
          <w:sz w:val="20"/>
          <w:szCs w:val="20"/>
          <w:lang w:val="uk-UA"/>
        </w:rPr>
      </w:pPr>
    </w:p>
    <w:p w14:paraId="03EF6FF7" w14:textId="0FB70BBB" w:rsidR="00D36F24" w:rsidRDefault="00D32703"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Розробка проти</w:t>
      </w:r>
      <w:r w:rsidR="00E568A1" w:rsidRPr="00993039">
        <w:rPr>
          <w:rFonts w:ascii="Arial" w:hAnsi="Arial" w:cs="Arial"/>
          <w:color w:val="000000"/>
          <w:lang w:val="uk-UA"/>
        </w:rPr>
        <w:t>туберкульо</w:t>
      </w:r>
      <w:r>
        <w:rPr>
          <w:rFonts w:ascii="Arial" w:hAnsi="Arial" w:cs="Arial"/>
          <w:color w:val="000000"/>
          <w:lang w:val="uk-UA"/>
        </w:rPr>
        <w:t xml:space="preserve">зних препаратів досягла нових висот </w:t>
      </w:r>
      <w:r w:rsidR="00E568A1" w:rsidRPr="00993039">
        <w:rPr>
          <w:rFonts w:ascii="Arial" w:hAnsi="Arial" w:cs="Arial"/>
          <w:color w:val="000000"/>
          <w:lang w:val="uk-UA"/>
        </w:rPr>
        <w:t xml:space="preserve">протягом останніх десяти років, і в даний </w:t>
      </w:r>
      <w:r w:rsidR="009D6E26">
        <w:rPr>
          <w:rFonts w:ascii="Arial" w:hAnsi="Arial" w:cs="Arial"/>
          <w:color w:val="000000"/>
          <w:lang w:val="uk-UA"/>
        </w:rPr>
        <w:t>час запускається</w:t>
      </w:r>
      <w:r w:rsidR="00E568A1" w:rsidRPr="00993039">
        <w:rPr>
          <w:rFonts w:ascii="Arial" w:hAnsi="Arial" w:cs="Arial"/>
          <w:color w:val="000000"/>
          <w:lang w:val="uk-UA"/>
        </w:rPr>
        <w:t xml:space="preserve"> або</w:t>
      </w:r>
      <w:r>
        <w:rPr>
          <w:rFonts w:ascii="Arial" w:hAnsi="Arial" w:cs="Arial"/>
          <w:color w:val="000000"/>
          <w:lang w:val="uk-UA"/>
        </w:rPr>
        <w:t xml:space="preserve">, </w:t>
      </w:r>
      <w:r w:rsidR="00E568A1" w:rsidRPr="00993039">
        <w:rPr>
          <w:rFonts w:ascii="Arial" w:hAnsi="Arial" w:cs="Arial"/>
          <w:color w:val="000000"/>
          <w:lang w:val="uk-UA"/>
        </w:rPr>
        <w:t>незабаром</w:t>
      </w:r>
      <w:r>
        <w:rPr>
          <w:rFonts w:ascii="Arial" w:hAnsi="Arial" w:cs="Arial"/>
          <w:color w:val="000000"/>
          <w:lang w:val="uk-UA"/>
        </w:rPr>
        <w:t>,</w:t>
      </w:r>
      <w:r w:rsidR="00E568A1" w:rsidRPr="00993039">
        <w:rPr>
          <w:rFonts w:ascii="Arial" w:hAnsi="Arial" w:cs="Arial"/>
          <w:color w:val="000000"/>
          <w:lang w:val="uk-UA"/>
        </w:rPr>
        <w:t xml:space="preserve"> </w:t>
      </w:r>
      <w:r w:rsidRPr="00993039">
        <w:rPr>
          <w:rFonts w:ascii="Arial" w:hAnsi="Arial" w:cs="Arial"/>
          <w:color w:val="000000"/>
          <w:lang w:val="uk-UA"/>
        </w:rPr>
        <w:t xml:space="preserve">буде </w:t>
      </w:r>
      <w:r w:rsidR="00E568A1" w:rsidRPr="00993039">
        <w:rPr>
          <w:rFonts w:ascii="Arial" w:hAnsi="Arial" w:cs="Arial"/>
          <w:color w:val="000000"/>
          <w:lang w:val="uk-UA"/>
        </w:rPr>
        <w:t xml:space="preserve">запущена ІІІ фаза випробувань нових препаратів для лікування </w:t>
      </w:r>
      <w:r>
        <w:rPr>
          <w:rFonts w:ascii="Arial" w:hAnsi="Arial" w:cs="Arial"/>
          <w:color w:val="000000"/>
          <w:lang w:val="uk-UA"/>
        </w:rPr>
        <w:t>МР</w:t>
      </w:r>
      <w:r w:rsidR="00E568A1" w:rsidRPr="00993039">
        <w:rPr>
          <w:rFonts w:ascii="Arial" w:hAnsi="Arial" w:cs="Arial"/>
          <w:color w:val="000000"/>
          <w:lang w:val="uk-UA"/>
        </w:rPr>
        <w:t xml:space="preserve"> ТБ</w:t>
      </w:r>
      <w:r>
        <w:rPr>
          <w:rFonts w:ascii="Arial" w:hAnsi="Arial" w:cs="Arial"/>
          <w:color w:val="000000"/>
          <w:lang w:val="uk-UA"/>
        </w:rPr>
        <w:t>. Серед них, бедаквілін</w:t>
      </w:r>
      <w:r w:rsidR="00E568A1" w:rsidRPr="00993039">
        <w:rPr>
          <w:rFonts w:ascii="Arial" w:hAnsi="Arial" w:cs="Arial"/>
          <w:color w:val="000000"/>
          <w:lang w:val="uk-UA"/>
        </w:rPr>
        <w:t xml:space="preserve">, </w:t>
      </w:r>
      <w:r>
        <w:rPr>
          <w:rFonts w:ascii="Arial" w:hAnsi="Arial" w:cs="Arial"/>
          <w:color w:val="000000"/>
          <w:lang w:val="uk-UA"/>
        </w:rPr>
        <w:t>який був запропонований як компонент схеми</w:t>
      </w:r>
      <w:r w:rsidR="00E568A1" w:rsidRPr="00993039">
        <w:rPr>
          <w:rFonts w:ascii="Arial" w:hAnsi="Arial" w:cs="Arial"/>
          <w:color w:val="000000"/>
          <w:lang w:val="uk-UA"/>
        </w:rPr>
        <w:t xml:space="preserve"> </w:t>
      </w:r>
      <w:r>
        <w:rPr>
          <w:rFonts w:ascii="Arial" w:hAnsi="Arial" w:cs="Arial"/>
          <w:color w:val="000000"/>
          <w:lang w:val="uk-UA"/>
        </w:rPr>
        <w:t>лікування МР ТБ</w:t>
      </w:r>
      <w:r w:rsidR="00E568A1" w:rsidRPr="00993039">
        <w:rPr>
          <w:rFonts w:ascii="Arial" w:hAnsi="Arial" w:cs="Arial"/>
          <w:color w:val="000000"/>
          <w:lang w:val="uk-UA"/>
        </w:rPr>
        <w:t xml:space="preserve">, </w:t>
      </w:r>
      <w:r>
        <w:rPr>
          <w:rFonts w:ascii="Arial" w:hAnsi="Arial" w:cs="Arial"/>
          <w:color w:val="000000"/>
          <w:lang w:val="uk-UA"/>
        </w:rPr>
        <w:t>та який отримав</w:t>
      </w:r>
      <w:r w:rsidR="00E568A1" w:rsidRPr="00993039">
        <w:rPr>
          <w:rFonts w:ascii="Arial" w:hAnsi="Arial" w:cs="Arial"/>
          <w:color w:val="000000"/>
          <w:lang w:val="uk-UA"/>
        </w:rPr>
        <w:t xml:space="preserve"> ліцензію Управління з контролю за продуктами харчування та ліками США у грудні 2012 року.</w:t>
      </w:r>
      <w:r w:rsidR="00E568A1">
        <w:rPr>
          <w:rFonts w:ascii="Arial" w:hAnsi="Arial" w:cs="Arial"/>
          <w:color w:val="000000"/>
          <w:lang w:val="uk-UA"/>
        </w:rPr>
        <w:t xml:space="preserve"> </w:t>
      </w:r>
      <w:r>
        <w:rPr>
          <w:rFonts w:ascii="Arial" w:hAnsi="Arial" w:cs="Arial"/>
          <w:color w:val="000000"/>
          <w:lang w:val="uk-UA"/>
        </w:rPr>
        <w:t>Відповідний пакет документів було представлено</w:t>
      </w:r>
      <w:r w:rsidR="00E568A1" w:rsidRPr="00993039">
        <w:rPr>
          <w:rFonts w:ascii="Arial" w:hAnsi="Arial" w:cs="Arial"/>
          <w:color w:val="000000"/>
          <w:lang w:val="uk-UA"/>
        </w:rPr>
        <w:t xml:space="preserve"> ряду інших національних регуляторних органів, які в даний час проходять оцінку відповідно до процедур "прискореного" або "умовного"</w:t>
      </w:r>
      <w:r w:rsidR="009D6E26">
        <w:rPr>
          <w:rFonts w:ascii="Arial" w:hAnsi="Arial" w:cs="Arial"/>
          <w:color w:val="000000"/>
          <w:lang w:val="uk-UA"/>
        </w:rPr>
        <w:t xml:space="preserve"> схвалення, на основі на ранніх </w:t>
      </w:r>
      <w:r w:rsidR="00E568A1" w:rsidRPr="00993039">
        <w:rPr>
          <w:rFonts w:ascii="Arial" w:hAnsi="Arial" w:cs="Arial"/>
          <w:color w:val="000000"/>
          <w:lang w:val="uk-UA"/>
        </w:rPr>
        <w:t>клінічних даних</w:t>
      </w:r>
      <w:r w:rsidR="009D6E26">
        <w:rPr>
          <w:rFonts w:ascii="Arial" w:hAnsi="Arial" w:cs="Arial"/>
          <w:color w:val="000000"/>
          <w:lang w:val="uk-UA"/>
        </w:rPr>
        <w:t xml:space="preserve"> </w:t>
      </w:r>
      <w:r w:rsidR="009D6E26" w:rsidRPr="00993039">
        <w:rPr>
          <w:rFonts w:ascii="Arial" w:hAnsi="Arial" w:cs="Arial"/>
          <w:color w:val="000000"/>
          <w:lang w:val="uk-UA"/>
        </w:rPr>
        <w:t>(клінічні дані фази IIb)</w:t>
      </w:r>
      <w:r w:rsidR="00E568A1" w:rsidRPr="00993039">
        <w:rPr>
          <w:rFonts w:ascii="Arial" w:hAnsi="Arial" w:cs="Arial"/>
          <w:color w:val="000000"/>
          <w:lang w:val="uk-UA"/>
        </w:rPr>
        <w:t>.</w:t>
      </w:r>
      <w:r w:rsidR="00D36F24">
        <w:rPr>
          <w:rFonts w:ascii="Arial" w:hAnsi="Arial" w:cs="Arial"/>
          <w:color w:val="000000"/>
          <w:lang w:val="uk-UA"/>
        </w:rPr>
        <w:t xml:space="preserve"> </w:t>
      </w:r>
      <w:r w:rsidR="00D36F24" w:rsidRPr="00993039">
        <w:rPr>
          <w:rFonts w:ascii="Arial" w:hAnsi="Arial" w:cs="Arial"/>
          <w:color w:val="000000"/>
          <w:lang w:val="uk-UA"/>
        </w:rPr>
        <w:t>Кілька держав-членів ВООЗ звернулися до Організації</w:t>
      </w:r>
      <w:r w:rsidR="00D36F24">
        <w:rPr>
          <w:rFonts w:ascii="Arial" w:hAnsi="Arial" w:cs="Arial"/>
          <w:color w:val="000000"/>
          <w:lang w:val="uk-UA"/>
        </w:rPr>
        <w:t xml:space="preserve"> </w:t>
      </w:r>
      <w:r w:rsidR="00D36F24" w:rsidRPr="00993039">
        <w:rPr>
          <w:rFonts w:ascii="Arial" w:hAnsi="Arial" w:cs="Arial"/>
          <w:color w:val="000000"/>
          <w:lang w:val="uk-UA"/>
        </w:rPr>
        <w:t>з проханням надати тимчасові рекомендації щодо</w:t>
      </w:r>
      <w:r w:rsidR="00D36F24">
        <w:rPr>
          <w:rFonts w:ascii="Arial" w:hAnsi="Arial" w:cs="Arial"/>
          <w:color w:val="000000"/>
          <w:lang w:val="uk-UA"/>
        </w:rPr>
        <w:t xml:space="preserve"> застосування</w:t>
      </w:r>
    </w:p>
    <w:p w14:paraId="13A704E4" w14:textId="77777777" w:rsidR="00D36F24" w:rsidRDefault="00D36F24" w:rsidP="0037724F">
      <w:pPr>
        <w:autoSpaceDE w:val="0"/>
        <w:autoSpaceDN w:val="0"/>
        <w:adjustRightInd w:val="0"/>
        <w:spacing w:after="0" w:line="240" w:lineRule="auto"/>
        <w:jc w:val="both"/>
        <w:rPr>
          <w:rFonts w:ascii="Arial" w:hAnsi="Arial" w:cs="Arial"/>
          <w:color w:val="000000"/>
          <w:lang w:val="uk-UA"/>
        </w:rPr>
      </w:pPr>
    </w:p>
    <w:p w14:paraId="09734E1D" w14:textId="77777777" w:rsidR="00D36F24" w:rsidRPr="00A60AE1" w:rsidRDefault="00D36F24" w:rsidP="00D36F24">
      <w:pPr>
        <w:autoSpaceDE w:val="0"/>
        <w:autoSpaceDN w:val="0"/>
        <w:adjustRightInd w:val="0"/>
        <w:spacing w:after="0" w:line="240" w:lineRule="auto"/>
        <w:jc w:val="both"/>
        <w:rPr>
          <w:rFonts w:ascii="Arial" w:hAnsi="Arial" w:cs="Arial"/>
          <w:color w:val="000000"/>
          <w:sz w:val="24"/>
          <w:szCs w:val="24"/>
        </w:rPr>
      </w:pPr>
      <w:r w:rsidRPr="00A60AE1">
        <w:rPr>
          <w:rFonts w:ascii="Arial" w:hAnsi="Arial" w:cs="Arial"/>
          <w:color w:val="000000"/>
          <w:sz w:val="24"/>
          <w:szCs w:val="24"/>
        </w:rPr>
        <w:t>__________________________________</w:t>
      </w:r>
    </w:p>
    <w:p w14:paraId="27885340" w14:textId="77777777" w:rsidR="00D36F24" w:rsidRPr="0028211E" w:rsidRDefault="00D36F24" w:rsidP="00D36F24">
      <w:pPr>
        <w:autoSpaceDE w:val="0"/>
        <w:autoSpaceDN w:val="0"/>
        <w:adjustRightInd w:val="0"/>
        <w:spacing w:after="0" w:line="240" w:lineRule="auto"/>
        <w:jc w:val="both"/>
        <w:rPr>
          <w:rFonts w:ascii="Arial" w:hAnsi="Arial" w:cs="Arial"/>
          <w:color w:val="000000"/>
          <w:sz w:val="18"/>
          <w:szCs w:val="18"/>
        </w:rPr>
      </w:pPr>
      <w:r w:rsidRPr="007E2145">
        <w:rPr>
          <w:rFonts w:ascii="Arial" w:hAnsi="Arial" w:cs="Arial"/>
          <w:b/>
          <w:color w:val="000000"/>
          <w:sz w:val="20"/>
          <w:szCs w:val="20"/>
          <w:vertAlign w:val="superscript"/>
        </w:rPr>
        <w:t xml:space="preserve">6 </w:t>
      </w:r>
      <w:r w:rsidRPr="0002427E">
        <w:rPr>
          <w:rFonts w:ascii="Arial" w:hAnsi="Arial" w:cs="Arial"/>
          <w:color w:val="000000"/>
          <w:sz w:val="20"/>
          <w:szCs w:val="20"/>
        </w:rPr>
        <w:t xml:space="preserve"> </w:t>
      </w:r>
      <w:r w:rsidRPr="0028211E">
        <w:rPr>
          <w:rFonts w:ascii="Arial" w:hAnsi="Arial" w:cs="Arial"/>
          <w:color w:val="000000"/>
          <w:sz w:val="18"/>
          <w:szCs w:val="18"/>
        </w:rPr>
        <w:t>Боротьба проти туберкульозу у світі: Доповідь ВООЗ  за 2010 рік  (</w:t>
      </w:r>
      <w:r w:rsidRPr="0028211E">
        <w:rPr>
          <w:rFonts w:ascii="Arial" w:hAnsi="Arial" w:cs="Arial"/>
          <w:color w:val="000000"/>
          <w:sz w:val="18"/>
          <w:szCs w:val="18"/>
          <w:lang w:val="en-US"/>
        </w:rPr>
        <w:t>WHO</w:t>
      </w:r>
      <w:r w:rsidRPr="0028211E">
        <w:rPr>
          <w:rFonts w:ascii="Arial" w:hAnsi="Arial" w:cs="Arial"/>
          <w:color w:val="000000"/>
          <w:sz w:val="18"/>
          <w:szCs w:val="18"/>
        </w:rPr>
        <w:t xml:space="preserve"> / </w:t>
      </w:r>
      <w:r w:rsidRPr="0028211E">
        <w:rPr>
          <w:rFonts w:ascii="Arial" w:hAnsi="Arial" w:cs="Arial"/>
          <w:color w:val="000000"/>
          <w:sz w:val="18"/>
          <w:szCs w:val="18"/>
          <w:lang w:val="en-US"/>
        </w:rPr>
        <w:t>HTM</w:t>
      </w:r>
      <w:r w:rsidRPr="0028211E">
        <w:rPr>
          <w:rFonts w:ascii="Arial" w:hAnsi="Arial" w:cs="Arial"/>
          <w:color w:val="000000"/>
          <w:sz w:val="18"/>
          <w:szCs w:val="18"/>
        </w:rPr>
        <w:t xml:space="preserve"> / </w:t>
      </w:r>
      <w:r w:rsidRPr="0028211E">
        <w:rPr>
          <w:rFonts w:ascii="Arial" w:hAnsi="Arial" w:cs="Arial"/>
          <w:color w:val="000000"/>
          <w:sz w:val="18"/>
          <w:szCs w:val="18"/>
          <w:lang w:val="en-US"/>
        </w:rPr>
        <w:t>TB</w:t>
      </w:r>
      <w:r w:rsidRPr="0028211E">
        <w:rPr>
          <w:rFonts w:ascii="Arial" w:hAnsi="Arial" w:cs="Arial"/>
          <w:color w:val="000000"/>
          <w:sz w:val="18"/>
          <w:szCs w:val="18"/>
        </w:rPr>
        <w:t xml:space="preserve"> / 2010.7). Женева, Всесвітня організація охорони здоров'я, 2010 рік.</w:t>
      </w:r>
    </w:p>
    <w:p w14:paraId="33EE983D" w14:textId="77777777" w:rsidR="00D36F24" w:rsidRPr="0028211E" w:rsidRDefault="00D36F24" w:rsidP="00D36F24">
      <w:pPr>
        <w:autoSpaceDE w:val="0"/>
        <w:autoSpaceDN w:val="0"/>
        <w:adjustRightInd w:val="0"/>
        <w:spacing w:after="0" w:line="240" w:lineRule="auto"/>
        <w:jc w:val="both"/>
        <w:rPr>
          <w:rFonts w:ascii="Arial" w:hAnsi="Arial" w:cs="Arial"/>
          <w:color w:val="000000"/>
          <w:sz w:val="18"/>
          <w:szCs w:val="18"/>
          <w:lang w:val="uk-UA"/>
        </w:rPr>
      </w:pPr>
      <w:r w:rsidRPr="002125A5">
        <w:rPr>
          <w:rFonts w:ascii="Arial" w:hAnsi="Arial" w:cs="Arial"/>
          <w:b/>
          <w:color w:val="000000"/>
          <w:sz w:val="20"/>
          <w:szCs w:val="20"/>
          <w:vertAlign w:val="superscript"/>
        </w:rPr>
        <w:t>7</w:t>
      </w:r>
      <w:r w:rsidRPr="0002427E">
        <w:rPr>
          <w:rFonts w:ascii="Arial" w:hAnsi="Arial" w:cs="Arial"/>
          <w:color w:val="000000"/>
          <w:sz w:val="20"/>
          <w:szCs w:val="20"/>
        </w:rPr>
        <w:t xml:space="preserve"> </w:t>
      </w:r>
      <w:r w:rsidRPr="0028211E">
        <w:rPr>
          <w:rFonts w:ascii="Arial" w:hAnsi="Arial" w:cs="Arial"/>
          <w:color w:val="000000"/>
          <w:sz w:val="18"/>
          <w:szCs w:val="18"/>
        </w:rPr>
        <w:t>Боротьба проти туберкульозу у світі: Доповідь ВООЗ  за 2012 рік (</w:t>
      </w:r>
      <w:r w:rsidRPr="0028211E">
        <w:rPr>
          <w:rFonts w:ascii="Arial" w:hAnsi="Arial" w:cs="Arial"/>
          <w:color w:val="000000"/>
          <w:sz w:val="18"/>
          <w:szCs w:val="18"/>
          <w:lang w:val="en-US"/>
        </w:rPr>
        <w:t>WHO</w:t>
      </w:r>
      <w:r w:rsidRPr="0028211E">
        <w:rPr>
          <w:rFonts w:ascii="Arial" w:hAnsi="Arial" w:cs="Arial"/>
          <w:color w:val="000000"/>
          <w:sz w:val="18"/>
          <w:szCs w:val="18"/>
        </w:rPr>
        <w:t xml:space="preserve"> / </w:t>
      </w:r>
      <w:r w:rsidRPr="0028211E">
        <w:rPr>
          <w:rFonts w:ascii="Arial" w:hAnsi="Arial" w:cs="Arial"/>
          <w:color w:val="000000"/>
          <w:sz w:val="18"/>
          <w:szCs w:val="18"/>
          <w:lang w:val="en-US"/>
        </w:rPr>
        <w:t>HTM</w:t>
      </w:r>
      <w:r w:rsidRPr="0028211E">
        <w:rPr>
          <w:rFonts w:ascii="Arial" w:hAnsi="Arial" w:cs="Arial"/>
          <w:color w:val="000000"/>
          <w:sz w:val="18"/>
          <w:szCs w:val="18"/>
        </w:rPr>
        <w:t xml:space="preserve"> / </w:t>
      </w:r>
      <w:r w:rsidRPr="0028211E">
        <w:rPr>
          <w:rFonts w:ascii="Arial" w:hAnsi="Arial" w:cs="Arial"/>
          <w:color w:val="000000"/>
          <w:sz w:val="18"/>
          <w:szCs w:val="18"/>
          <w:lang w:val="en-US"/>
        </w:rPr>
        <w:t>TB</w:t>
      </w:r>
      <w:r w:rsidRPr="0028211E">
        <w:rPr>
          <w:rFonts w:ascii="Arial" w:hAnsi="Arial" w:cs="Arial"/>
          <w:color w:val="000000"/>
          <w:sz w:val="18"/>
          <w:szCs w:val="18"/>
        </w:rPr>
        <w:t xml:space="preserve"> / 2012.6). </w:t>
      </w:r>
      <w:r w:rsidRPr="00713994">
        <w:rPr>
          <w:rFonts w:ascii="Arial" w:hAnsi="Arial" w:cs="Arial"/>
          <w:color w:val="000000"/>
          <w:sz w:val="18"/>
          <w:szCs w:val="18"/>
        </w:rPr>
        <w:t>Женева,Всесвітня організація охорони здоров'я, 2012 рік.</w:t>
      </w:r>
    </w:p>
    <w:p w14:paraId="63533BC4" w14:textId="77777777" w:rsidR="00D36F24" w:rsidRDefault="00D36F24" w:rsidP="0037724F">
      <w:pPr>
        <w:autoSpaceDE w:val="0"/>
        <w:autoSpaceDN w:val="0"/>
        <w:adjustRightInd w:val="0"/>
        <w:spacing w:after="0" w:line="240" w:lineRule="auto"/>
        <w:jc w:val="both"/>
        <w:rPr>
          <w:rFonts w:ascii="Arial" w:hAnsi="Arial" w:cs="Arial"/>
          <w:color w:val="000000"/>
          <w:lang w:val="uk-UA"/>
        </w:rPr>
      </w:pPr>
    </w:p>
    <w:p w14:paraId="0B28C5B8" w14:textId="77777777" w:rsidR="00D36F24" w:rsidRDefault="00D36F24" w:rsidP="0037724F">
      <w:pPr>
        <w:autoSpaceDE w:val="0"/>
        <w:autoSpaceDN w:val="0"/>
        <w:adjustRightInd w:val="0"/>
        <w:spacing w:after="0" w:line="240" w:lineRule="auto"/>
        <w:jc w:val="both"/>
        <w:rPr>
          <w:rFonts w:ascii="Arial" w:hAnsi="Arial" w:cs="Arial"/>
          <w:color w:val="000000"/>
          <w:lang w:val="uk-UA"/>
        </w:rPr>
      </w:pPr>
    </w:p>
    <w:p w14:paraId="3635CC75" w14:textId="72FD04CA" w:rsidR="00E568A1" w:rsidRPr="00672403" w:rsidRDefault="006653E5"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бедаквіліну </w:t>
      </w:r>
      <w:r w:rsidR="00E568A1" w:rsidRPr="00993039">
        <w:rPr>
          <w:rFonts w:ascii="Arial" w:hAnsi="Arial" w:cs="Arial"/>
          <w:color w:val="000000"/>
          <w:lang w:val="uk-UA"/>
        </w:rPr>
        <w:t>при лікуванні</w:t>
      </w:r>
      <w:r>
        <w:rPr>
          <w:rFonts w:ascii="Arial" w:hAnsi="Arial" w:cs="Arial"/>
          <w:color w:val="000000"/>
          <w:lang w:val="uk-UA"/>
        </w:rPr>
        <w:t xml:space="preserve"> МР</w:t>
      </w:r>
      <w:r w:rsidR="00E568A1" w:rsidRPr="00993039">
        <w:rPr>
          <w:rFonts w:ascii="Arial" w:hAnsi="Arial" w:cs="Arial"/>
          <w:color w:val="000000"/>
          <w:lang w:val="uk-UA"/>
        </w:rPr>
        <w:t xml:space="preserve"> ТБ.</w:t>
      </w:r>
      <w:r w:rsidR="00E568A1">
        <w:rPr>
          <w:rFonts w:ascii="Arial" w:hAnsi="Arial" w:cs="Arial"/>
          <w:color w:val="000000"/>
          <w:lang w:val="uk-UA"/>
        </w:rPr>
        <w:t xml:space="preserve"> </w:t>
      </w:r>
      <w:r w:rsidR="00E568A1" w:rsidRPr="00672403">
        <w:rPr>
          <w:rFonts w:ascii="Arial" w:hAnsi="Arial" w:cs="Arial"/>
          <w:color w:val="000000"/>
          <w:lang w:val="uk-UA"/>
        </w:rPr>
        <w:t>З цих причин ВООЗ скликала нараду Експертної Групи</w:t>
      </w:r>
      <w:r w:rsidR="009D6E26">
        <w:rPr>
          <w:rFonts w:ascii="Arial" w:hAnsi="Arial" w:cs="Arial"/>
          <w:color w:val="000000"/>
          <w:lang w:val="uk-UA"/>
        </w:rPr>
        <w:t xml:space="preserve"> (ЕГ) з 29 по 30 січня 2013 р. у </w:t>
      </w:r>
      <w:r w:rsidR="00E568A1" w:rsidRPr="00672403">
        <w:rPr>
          <w:rFonts w:ascii="Arial" w:hAnsi="Arial" w:cs="Arial"/>
          <w:color w:val="000000"/>
          <w:lang w:val="uk-UA"/>
        </w:rPr>
        <w:t xml:space="preserve"> Женеві, Швейцарія, для перегляду існуючого </w:t>
      </w:r>
      <w:r w:rsidR="009D6E26">
        <w:rPr>
          <w:rFonts w:ascii="Arial" w:hAnsi="Arial" w:cs="Arial"/>
          <w:color w:val="000000"/>
          <w:lang w:val="uk-UA"/>
        </w:rPr>
        <w:t>підтвердження</w:t>
      </w:r>
      <w:r w:rsidR="00E568A1" w:rsidRPr="00672403">
        <w:rPr>
          <w:rFonts w:ascii="Arial" w:hAnsi="Arial" w:cs="Arial"/>
          <w:color w:val="000000"/>
          <w:lang w:val="uk-UA"/>
        </w:rPr>
        <w:t xml:space="preserve"> терапевтичної </w:t>
      </w:r>
      <w:r>
        <w:rPr>
          <w:rFonts w:ascii="Arial" w:hAnsi="Arial" w:cs="Arial"/>
          <w:color w:val="000000"/>
          <w:lang w:val="uk-UA"/>
        </w:rPr>
        <w:t>ефективності, безпечності та ді</w:t>
      </w:r>
      <w:r w:rsidR="00E568A1" w:rsidRPr="00672403">
        <w:rPr>
          <w:rFonts w:ascii="Arial" w:hAnsi="Arial" w:cs="Arial"/>
          <w:color w:val="000000"/>
          <w:lang w:val="uk-UA"/>
        </w:rPr>
        <w:t xml:space="preserve">євості цього нового препарату для лікування </w:t>
      </w:r>
      <w:r w:rsidR="009B51D9">
        <w:rPr>
          <w:rFonts w:ascii="Arial" w:hAnsi="Arial" w:cs="Arial"/>
          <w:color w:val="000000"/>
          <w:lang w:val="uk-UA"/>
        </w:rPr>
        <w:t>МР ТБ</w:t>
      </w:r>
      <w:r w:rsidR="009D6E26">
        <w:rPr>
          <w:rFonts w:ascii="Arial" w:hAnsi="Arial" w:cs="Arial"/>
          <w:color w:val="000000"/>
          <w:lang w:val="uk-UA"/>
        </w:rPr>
        <w:t>,</w:t>
      </w:r>
      <w:r w:rsidR="00E568A1" w:rsidRPr="00672403">
        <w:rPr>
          <w:rFonts w:ascii="Arial" w:hAnsi="Arial" w:cs="Arial"/>
          <w:color w:val="000000"/>
          <w:lang w:val="uk-UA"/>
        </w:rPr>
        <w:t xml:space="preserve"> та рекомендувати, чи </w:t>
      </w:r>
      <w:r>
        <w:rPr>
          <w:rFonts w:ascii="Arial" w:hAnsi="Arial" w:cs="Arial"/>
          <w:color w:val="000000"/>
          <w:lang w:val="uk-UA"/>
        </w:rPr>
        <w:t xml:space="preserve">розробити </w:t>
      </w:r>
      <w:r w:rsidR="00E568A1" w:rsidRPr="00672403">
        <w:rPr>
          <w:rFonts w:ascii="Arial" w:hAnsi="Arial" w:cs="Arial"/>
          <w:color w:val="000000"/>
          <w:lang w:val="uk-UA"/>
        </w:rPr>
        <w:t xml:space="preserve">тимчасові рекомендації ВООЗ щодо </w:t>
      </w:r>
      <w:r w:rsidR="007D3500">
        <w:rPr>
          <w:rFonts w:ascii="Arial" w:hAnsi="Arial" w:cs="Arial"/>
          <w:color w:val="000000"/>
          <w:lang w:val="uk-UA"/>
        </w:rPr>
        <w:t>застосування</w:t>
      </w:r>
      <w:r w:rsidR="00E568A1" w:rsidRPr="00672403">
        <w:rPr>
          <w:rFonts w:ascii="Arial" w:hAnsi="Arial" w:cs="Arial"/>
          <w:color w:val="000000"/>
          <w:lang w:val="uk-UA"/>
        </w:rPr>
        <w:t xml:space="preserve"> цього препарату для лікування </w:t>
      </w:r>
      <w:r w:rsidR="009B51D9">
        <w:rPr>
          <w:rFonts w:ascii="Arial" w:hAnsi="Arial" w:cs="Arial"/>
          <w:color w:val="000000"/>
          <w:lang w:val="uk-UA"/>
        </w:rPr>
        <w:t>МР ТБ</w:t>
      </w:r>
      <w:r w:rsidR="00E568A1" w:rsidRPr="00672403">
        <w:rPr>
          <w:rFonts w:ascii="Arial" w:hAnsi="Arial" w:cs="Arial"/>
          <w:color w:val="000000"/>
          <w:lang w:val="uk-UA"/>
        </w:rPr>
        <w:t xml:space="preserve"> </w:t>
      </w:r>
      <w:r>
        <w:rPr>
          <w:rFonts w:ascii="Arial" w:hAnsi="Arial" w:cs="Arial"/>
          <w:color w:val="000000"/>
          <w:lang w:val="uk-UA"/>
        </w:rPr>
        <w:t xml:space="preserve">з наданням інформації/доказів, що його застосування </w:t>
      </w:r>
      <w:r w:rsidR="00E568A1" w:rsidRPr="00672403">
        <w:rPr>
          <w:rFonts w:ascii="Arial" w:hAnsi="Arial" w:cs="Arial"/>
          <w:color w:val="000000"/>
          <w:lang w:val="uk-UA"/>
        </w:rPr>
        <w:t xml:space="preserve">є </w:t>
      </w:r>
      <w:r w:rsidRPr="00A32EE6">
        <w:rPr>
          <w:rFonts w:ascii="Arial" w:hAnsi="Arial" w:cs="Arial"/>
          <w:color w:val="000000"/>
          <w:lang w:val="uk-UA"/>
        </w:rPr>
        <w:t>виправданим</w:t>
      </w:r>
      <w:r w:rsidR="00E568A1" w:rsidRPr="00A32EE6">
        <w:rPr>
          <w:rFonts w:ascii="Arial" w:hAnsi="Arial" w:cs="Arial"/>
          <w:color w:val="000000"/>
          <w:lang w:val="uk-UA"/>
        </w:rPr>
        <w:t>.</w:t>
      </w:r>
    </w:p>
    <w:p w14:paraId="48F16937" w14:textId="77777777" w:rsidR="00E568A1" w:rsidRPr="00993039" w:rsidRDefault="00E568A1" w:rsidP="0037724F">
      <w:pPr>
        <w:autoSpaceDE w:val="0"/>
        <w:autoSpaceDN w:val="0"/>
        <w:adjustRightInd w:val="0"/>
        <w:spacing w:after="0" w:line="240" w:lineRule="auto"/>
        <w:jc w:val="both"/>
        <w:rPr>
          <w:rFonts w:ascii="Arial" w:hAnsi="Arial" w:cs="Arial"/>
          <w:color w:val="000000"/>
          <w:lang w:val="uk-UA"/>
        </w:rPr>
      </w:pPr>
    </w:p>
    <w:p w14:paraId="705E2C1C" w14:textId="19B87677" w:rsidR="00E568A1" w:rsidRPr="00636974" w:rsidRDefault="00AC105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Потрібно зазначити</w:t>
      </w:r>
      <w:r w:rsidR="00A32EE6">
        <w:rPr>
          <w:rFonts w:ascii="Arial" w:hAnsi="Arial" w:cs="Arial"/>
          <w:color w:val="000000"/>
          <w:lang w:val="uk-UA"/>
        </w:rPr>
        <w:t>, що розробка тимча</w:t>
      </w:r>
      <w:r w:rsidR="00E568A1" w:rsidRPr="00636974">
        <w:rPr>
          <w:rFonts w:ascii="Arial" w:hAnsi="Arial" w:cs="Arial"/>
          <w:color w:val="000000"/>
          <w:lang w:val="uk-UA"/>
        </w:rPr>
        <w:t>с</w:t>
      </w:r>
      <w:r w:rsidR="00A32EE6">
        <w:rPr>
          <w:rFonts w:ascii="Arial" w:hAnsi="Arial" w:cs="Arial"/>
          <w:color w:val="000000"/>
          <w:lang w:val="uk-UA"/>
        </w:rPr>
        <w:t>о</w:t>
      </w:r>
      <w:r w:rsidR="00E568A1" w:rsidRPr="00636974">
        <w:rPr>
          <w:rFonts w:ascii="Arial" w:hAnsi="Arial" w:cs="Arial"/>
          <w:color w:val="000000"/>
          <w:lang w:val="uk-UA"/>
        </w:rPr>
        <w:t xml:space="preserve">вих рекомендацій щодо </w:t>
      </w:r>
      <w:r w:rsidR="007D3500">
        <w:rPr>
          <w:rFonts w:ascii="Arial" w:hAnsi="Arial" w:cs="Arial"/>
          <w:color w:val="000000"/>
          <w:lang w:val="uk-UA"/>
        </w:rPr>
        <w:t>застосування</w:t>
      </w:r>
      <w:r w:rsidR="00E568A1" w:rsidRPr="00636974">
        <w:rPr>
          <w:rFonts w:ascii="Arial" w:hAnsi="Arial" w:cs="Arial"/>
          <w:color w:val="000000"/>
          <w:lang w:val="uk-UA"/>
        </w:rPr>
        <w:t xml:space="preserve"> нового протитуберкульозного препарату на основі дани</w:t>
      </w:r>
      <w:r w:rsidR="00A32EE6">
        <w:rPr>
          <w:rFonts w:ascii="Arial" w:hAnsi="Arial" w:cs="Arial"/>
          <w:color w:val="000000"/>
          <w:lang w:val="uk-UA"/>
        </w:rPr>
        <w:t xml:space="preserve">х фази IIb був новим кроком для ВООЗ, і який </w:t>
      </w:r>
      <w:r w:rsidR="00E568A1" w:rsidRPr="00636974">
        <w:rPr>
          <w:rFonts w:ascii="Arial" w:hAnsi="Arial" w:cs="Arial"/>
          <w:color w:val="000000"/>
          <w:lang w:val="uk-UA"/>
        </w:rPr>
        <w:t>був зроблений у відповідь на п</w:t>
      </w:r>
      <w:r w:rsidR="00A32EE6">
        <w:rPr>
          <w:rFonts w:ascii="Arial" w:hAnsi="Arial" w:cs="Arial"/>
          <w:color w:val="000000"/>
          <w:lang w:val="uk-UA"/>
        </w:rPr>
        <w:t>рохання держав-членів ВООЗ надати конкретні рекомендації</w:t>
      </w:r>
      <w:r w:rsidR="00A857E2">
        <w:rPr>
          <w:rFonts w:ascii="Arial" w:hAnsi="Arial" w:cs="Arial"/>
          <w:color w:val="000000"/>
          <w:lang w:val="uk-UA"/>
        </w:rPr>
        <w:t xml:space="preserve">. </w:t>
      </w:r>
      <w:r w:rsidR="00A857E2" w:rsidRPr="00A857E2">
        <w:rPr>
          <w:rFonts w:ascii="Arial" w:hAnsi="Arial" w:cs="Arial"/>
          <w:color w:val="000000"/>
          <w:lang w:val="uk-UA"/>
        </w:rPr>
        <w:t>Видан</w:t>
      </w:r>
      <w:r w:rsidR="00A32EE6">
        <w:rPr>
          <w:rFonts w:ascii="Arial" w:hAnsi="Arial" w:cs="Arial"/>
          <w:color w:val="000000"/>
          <w:lang w:val="uk-UA"/>
        </w:rPr>
        <w:t xml:space="preserve">ня тимчасового керівництва, </w:t>
      </w:r>
      <w:r w:rsidR="00A857E2" w:rsidRPr="00A857E2">
        <w:rPr>
          <w:rFonts w:ascii="Arial" w:hAnsi="Arial" w:cs="Arial"/>
          <w:color w:val="000000"/>
          <w:lang w:val="uk-UA"/>
        </w:rPr>
        <w:t>передбачає в</w:t>
      </w:r>
      <w:r w:rsidR="00A32EE6">
        <w:rPr>
          <w:rFonts w:ascii="Arial" w:hAnsi="Arial" w:cs="Arial"/>
          <w:color w:val="000000"/>
          <w:lang w:val="uk-UA"/>
        </w:rPr>
        <w:t>ідповідальність за той факт</w:t>
      </w:r>
      <w:r w:rsidR="00A857E2" w:rsidRPr="00A857E2">
        <w:rPr>
          <w:rFonts w:ascii="Arial" w:hAnsi="Arial" w:cs="Arial"/>
          <w:color w:val="000000"/>
          <w:lang w:val="uk-UA"/>
        </w:rPr>
        <w:t xml:space="preserve">, що воно містить конкретні рекомендації стосовно умов </w:t>
      </w:r>
      <w:r w:rsidR="007D3500">
        <w:rPr>
          <w:rFonts w:ascii="Arial" w:hAnsi="Arial" w:cs="Arial"/>
          <w:color w:val="000000"/>
          <w:lang w:val="uk-UA"/>
        </w:rPr>
        <w:t>застосування</w:t>
      </w:r>
      <w:r w:rsidR="00A32EE6">
        <w:rPr>
          <w:rFonts w:ascii="Arial" w:hAnsi="Arial" w:cs="Arial"/>
          <w:color w:val="000000"/>
          <w:lang w:val="uk-UA"/>
        </w:rPr>
        <w:t xml:space="preserve"> препарату, на основі</w:t>
      </w:r>
      <w:r w:rsidR="00A857E2" w:rsidRPr="00A857E2">
        <w:rPr>
          <w:rFonts w:ascii="Arial" w:hAnsi="Arial" w:cs="Arial"/>
          <w:color w:val="000000"/>
          <w:lang w:val="uk-UA"/>
        </w:rPr>
        <w:t xml:space="preserve"> </w:t>
      </w:r>
      <w:r w:rsidR="00A32EE6">
        <w:rPr>
          <w:rFonts w:ascii="Arial" w:hAnsi="Arial" w:cs="Arial"/>
          <w:color w:val="000000"/>
          <w:lang w:val="uk-UA"/>
        </w:rPr>
        <w:t>обмежених,</w:t>
      </w:r>
      <w:r w:rsidR="00A857E2" w:rsidRPr="00A857E2">
        <w:rPr>
          <w:rFonts w:ascii="Arial" w:hAnsi="Arial" w:cs="Arial"/>
          <w:color w:val="000000"/>
          <w:lang w:val="uk-UA"/>
        </w:rPr>
        <w:t xml:space="preserve"> наразі</w:t>
      </w:r>
      <w:r w:rsidR="00A32EE6">
        <w:rPr>
          <w:rFonts w:ascii="Arial" w:hAnsi="Arial" w:cs="Arial"/>
          <w:color w:val="000000"/>
          <w:lang w:val="uk-UA"/>
        </w:rPr>
        <w:t xml:space="preserve"> доступних, даних</w:t>
      </w:r>
      <w:r w:rsidR="00A857E2" w:rsidRPr="00A857E2">
        <w:rPr>
          <w:rFonts w:ascii="Arial" w:hAnsi="Arial" w:cs="Arial"/>
          <w:color w:val="000000"/>
          <w:lang w:val="uk-UA"/>
        </w:rPr>
        <w:t>.</w:t>
      </w:r>
      <w:r w:rsidR="00A857E2">
        <w:rPr>
          <w:rFonts w:ascii="Arial" w:hAnsi="Arial" w:cs="Arial"/>
          <w:color w:val="000000"/>
          <w:lang w:val="uk-UA"/>
        </w:rPr>
        <w:t xml:space="preserve"> </w:t>
      </w:r>
      <w:r w:rsidR="00E568A1" w:rsidRPr="00636974">
        <w:rPr>
          <w:rFonts w:ascii="Arial" w:hAnsi="Arial" w:cs="Arial"/>
          <w:color w:val="000000"/>
          <w:lang w:val="uk-UA"/>
        </w:rPr>
        <w:t xml:space="preserve"> Крім того,  ВООЗ необхідно буде проаналізувати, переглянути або оновити тимчасове керівництво, оскільки будуть доступні додаткові незалежні дані про ефективність та безпечність бедаквіл</w:t>
      </w:r>
      <w:r w:rsidR="00A857E2">
        <w:rPr>
          <w:rFonts w:ascii="Arial" w:hAnsi="Arial" w:cs="Arial"/>
          <w:color w:val="000000"/>
          <w:lang w:val="uk-UA"/>
        </w:rPr>
        <w:t>іну. Прискорення випробувань ІІІ етапу</w:t>
      </w:r>
      <w:r w:rsidR="00E568A1" w:rsidRPr="00636974">
        <w:rPr>
          <w:rFonts w:ascii="Arial" w:hAnsi="Arial" w:cs="Arial"/>
          <w:color w:val="000000"/>
          <w:lang w:val="uk-UA"/>
        </w:rPr>
        <w:t xml:space="preserve"> та їх завершення при першій </w:t>
      </w:r>
      <w:r w:rsidR="00A857E2">
        <w:rPr>
          <w:rFonts w:ascii="Arial" w:hAnsi="Arial" w:cs="Arial"/>
          <w:color w:val="000000"/>
          <w:lang w:val="uk-UA"/>
        </w:rPr>
        <w:t xml:space="preserve">же </w:t>
      </w:r>
      <w:r w:rsidR="00A32EE6">
        <w:rPr>
          <w:rFonts w:ascii="Arial" w:hAnsi="Arial" w:cs="Arial"/>
          <w:color w:val="000000"/>
          <w:lang w:val="uk-UA"/>
        </w:rPr>
        <w:t>можливості є нагальною задачею, так само як і своєчасний аналіз</w:t>
      </w:r>
      <w:r w:rsidR="00E568A1" w:rsidRPr="00636974">
        <w:rPr>
          <w:rFonts w:ascii="Arial" w:hAnsi="Arial" w:cs="Arial"/>
          <w:color w:val="000000"/>
          <w:lang w:val="uk-UA"/>
        </w:rPr>
        <w:t xml:space="preserve"> нових оп</w:t>
      </w:r>
      <w:r w:rsidR="00A32EE6">
        <w:rPr>
          <w:rFonts w:ascii="Arial" w:hAnsi="Arial" w:cs="Arial"/>
          <w:color w:val="000000"/>
          <w:lang w:val="uk-UA"/>
        </w:rPr>
        <w:t xml:space="preserve">еративних даних щодо застосування </w:t>
      </w:r>
      <w:r w:rsidR="00E568A1" w:rsidRPr="0011456E">
        <w:rPr>
          <w:rFonts w:ascii="Arial" w:hAnsi="Arial" w:cs="Arial"/>
          <w:color w:val="000000"/>
          <w:lang w:val="uk-UA"/>
        </w:rPr>
        <w:t>препарату.</w:t>
      </w:r>
      <w:r w:rsidR="00E568A1" w:rsidRPr="00636974">
        <w:rPr>
          <w:rFonts w:ascii="Arial" w:hAnsi="Arial" w:cs="Arial"/>
          <w:color w:val="000000"/>
          <w:lang w:val="uk-UA"/>
        </w:rPr>
        <w:t xml:space="preserve"> Слід також зазначити, що за відсутності тимчасової інструкції ВООЗ, неконтрольоване і потенційно безвідповідальне застосування цього препарату може негативно вплинути на загальні зусилля  у лікуванні ТБ та бо</w:t>
      </w:r>
      <w:r w:rsidR="00A857E2">
        <w:rPr>
          <w:rFonts w:ascii="Arial" w:hAnsi="Arial" w:cs="Arial"/>
          <w:color w:val="000000"/>
          <w:lang w:val="uk-UA"/>
        </w:rPr>
        <w:t>ротьбі з</w:t>
      </w:r>
      <w:r w:rsidR="00E568A1" w:rsidRPr="00636974">
        <w:rPr>
          <w:rFonts w:ascii="Arial" w:hAnsi="Arial" w:cs="Arial"/>
          <w:color w:val="000000"/>
          <w:lang w:val="uk-UA"/>
        </w:rPr>
        <w:t xml:space="preserve"> ТБ в цілому - потенційно ц</w:t>
      </w:r>
      <w:r w:rsidR="00A051A7">
        <w:rPr>
          <w:rFonts w:ascii="Arial" w:hAnsi="Arial" w:cs="Arial"/>
          <w:color w:val="000000"/>
          <w:lang w:val="uk-UA"/>
        </w:rPr>
        <w:t xml:space="preserve">е може спровокувати виникнення </w:t>
      </w:r>
      <w:r w:rsidR="00E568A1" w:rsidRPr="00636974">
        <w:rPr>
          <w:rFonts w:ascii="Arial" w:hAnsi="Arial" w:cs="Arial"/>
          <w:color w:val="000000"/>
          <w:lang w:val="uk-UA"/>
        </w:rPr>
        <w:t xml:space="preserve">резистентності до бедаквіліну та можливу втрату першого нового протитуберкульозного препарату </w:t>
      </w:r>
      <w:r w:rsidR="00A051A7">
        <w:rPr>
          <w:rFonts w:ascii="Arial" w:hAnsi="Arial" w:cs="Arial"/>
          <w:color w:val="000000"/>
          <w:lang w:val="uk-UA"/>
        </w:rPr>
        <w:t xml:space="preserve">розробленого за більш ніж </w:t>
      </w:r>
      <w:r w:rsidR="00E568A1" w:rsidRPr="00636974">
        <w:rPr>
          <w:rFonts w:ascii="Arial" w:hAnsi="Arial" w:cs="Arial"/>
          <w:color w:val="000000"/>
          <w:lang w:val="uk-UA"/>
        </w:rPr>
        <w:t>40 років.</w:t>
      </w:r>
    </w:p>
    <w:p w14:paraId="67CF12CC" w14:textId="77777777" w:rsidR="00E568A1" w:rsidRPr="00636974"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0E111A38" w14:textId="77777777" w:rsidR="00E568A1" w:rsidRPr="0011456E" w:rsidRDefault="00E568A1" w:rsidP="009B51D9">
      <w:pPr>
        <w:autoSpaceDE w:val="0"/>
        <w:autoSpaceDN w:val="0"/>
        <w:adjustRightInd w:val="0"/>
        <w:spacing w:after="0" w:line="240" w:lineRule="auto"/>
        <w:jc w:val="both"/>
        <w:outlineLvl w:val="0"/>
        <w:rPr>
          <w:rFonts w:ascii="Arial" w:hAnsi="Arial" w:cs="Arial"/>
          <w:b/>
          <w:bCs/>
          <w:color w:val="6A2041"/>
          <w:sz w:val="36"/>
          <w:szCs w:val="36"/>
          <w:lang w:val="uk-UA"/>
        </w:rPr>
      </w:pPr>
      <w:r w:rsidRPr="0011456E">
        <w:rPr>
          <w:rFonts w:ascii="Arial" w:hAnsi="Arial" w:cs="Arial"/>
          <w:b/>
          <w:bCs/>
          <w:color w:val="6A2041"/>
          <w:sz w:val="36"/>
          <w:szCs w:val="36"/>
          <w:lang w:val="uk-UA"/>
        </w:rPr>
        <w:t xml:space="preserve">2. Мета </w:t>
      </w:r>
      <w:r w:rsidR="00354F1B" w:rsidRPr="0011456E">
        <w:rPr>
          <w:rFonts w:ascii="Arial" w:hAnsi="Arial" w:cs="Arial"/>
          <w:b/>
          <w:bCs/>
          <w:color w:val="6A2041"/>
          <w:sz w:val="36"/>
          <w:szCs w:val="36"/>
          <w:lang w:val="uk-UA"/>
        </w:rPr>
        <w:t>керівництва</w:t>
      </w:r>
      <w:r w:rsidRPr="0011456E">
        <w:rPr>
          <w:rFonts w:ascii="Arial" w:hAnsi="Arial" w:cs="Arial"/>
          <w:b/>
          <w:bCs/>
          <w:color w:val="6A2041"/>
          <w:sz w:val="36"/>
          <w:szCs w:val="36"/>
          <w:lang w:val="uk-UA"/>
        </w:rPr>
        <w:t xml:space="preserve"> та цільова аудиторія</w:t>
      </w:r>
    </w:p>
    <w:p w14:paraId="41277E5B" w14:textId="77777777" w:rsidR="00E568A1" w:rsidRPr="0011456E" w:rsidRDefault="00E568A1" w:rsidP="0037724F">
      <w:pPr>
        <w:autoSpaceDE w:val="0"/>
        <w:autoSpaceDN w:val="0"/>
        <w:adjustRightInd w:val="0"/>
        <w:spacing w:after="0" w:line="240" w:lineRule="auto"/>
        <w:jc w:val="both"/>
        <w:rPr>
          <w:rFonts w:ascii="Arial" w:hAnsi="Arial" w:cs="Arial"/>
          <w:b/>
          <w:bCs/>
          <w:color w:val="6A2041"/>
          <w:sz w:val="20"/>
          <w:szCs w:val="20"/>
          <w:lang w:val="uk-UA"/>
        </w:rPr>
      </w:pPr>
    </w:p>
    <w:p w14:paraId="232742C0" w14:textId="77777777" w:rsidR="00E568A1" w:rsidRPr="0011456E"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11456E">
        <w:rPr>
          <w:rFonts w:ascii="Arial" w:hAnsi="Arial" w:cs="Arial"/>
          <w:b/>
          <w:bCs/>
          <w:color w:val="6A2041"/>
          <w:sz w:val="28"/>
          <w:szCs w:val="28"/>
        </w:rPr>
        <w:t xml:space="preserve">2.1. </w:t>
      </w:r>
      <w:r w:rsidRPr="0011456E">
        <w:rPr>
          <w:rFonts w:ascii="Arial" w:hAnsi="Arial" w:cs="Arial"/>
          <w:b/>
          <w:bCs/>
          <w:color w:val="6A2041"/>
          <w:sz w:val="28"/>
          <w:szCs w:val="28"/>
          <w:lang w:val="uk-UA"/>
        </w:rPr>
        <w:t>Мета</w:t>
      </w:r>
    </w:p>
    <w:p w14:paraId="3438837C" w14:textId="77777777" w:rsidR="00E568A1" w:rsidRPr="00713994" w:rsidRDefault="00E568A1" w:rsidP="0037724F">
      <w:pPr>
        <w:autoSpaceDE w:val="0"/>
        <w:autoSpaceDN w:val="0"/>
        <w:adjustRightInd w:val="0"/>
        <w:spacing w:after="0" w:line="240" w:lineRule="auto"/>
        <w:jc w:val="both"/>
        <w:rPr>
          <w:rFonts w:ascii="Arial" w:hAnsi="Arial" w:cs="Arial"/>
          <w:color w:val="000000"/>
          <w:sz w:val="16"/>
          <w:szCs w:val="16"/>
        </w:rPr>
      </w:pPr>
    </w:p>
    <w:p w14:paraId="77190DAD" w14:textId="6CBDBE02" w:rsidR="00E568A1" w:rsidRDefault="00A051A7" w:rsidP="0037724F">
      <w:pPr>
        <w:autoSpaceDE w:val="0"/>
        <w:autoSpaceDN w:val="0"/>
        <w:adjustRightInd w:val="0"/>
        <w:spacing w:after="0" w:line="240" w:lineRule="auto"/>
        <w:jc w:val="both"/>
        <w:rPr>
          <w:rFonts w:ascii="Arial" w:hAnsi="Arial" w:cs="Arial"/>
          <w:lang w:val="uk-UA"/>
        </w:rPr>
      </w:pPr>
      <w:r>
        <w:rPr>
          <w:rFonts w:ascii="Arial" w:hAnsi="Arial" w:cs="Arial"/>
          <w:lang w:val="uk-UA"/>
        </w:rPr>
        <w:t>Загальною метою</w:t>
      </w:r>
      <w:r w:rsidR="00E568A1" w:rsidRPr="00495B62">
        <w:rPr>
          <w:rFonts w:ascii="Arial" w:hAnsi="Arial" w:cs="Arial"/>
          <w:lang w:val="uk-UA"/>
        </w:rPr>
        <w:t xml:space="preserve"> цих рекомендацій </w:t>
      </w:r>
      <w:r>
        <w:rPr>
          <w:rFonts w:ascii="Arial" w:hAnsi="Arial" w:cs="Arial"/>
          <w:lang w:val="uk-UA"/>
        </w:rPr>
        <w:t>є</w:t>
      </w:r>
      <w:r w:rsidR="00A857E2">
        <w:rPr>
          <w:rFonts w:ascii="Arial" w:hAnsi="Arial" w:cs="Arial"/>
          <w:lang w:val="uk-UA"/>
        </w:rPr>
        <w:t xml:space="preserve"> </w:t>
      </w:r>
      <w:r>
        <w:rPr>
          <w:rFonts w:ascii="Arial" w:hAnsi="Arial" w:cs="Arial"/>
          <w:lang w:val="uk-UA"/>
        </w:rPr>
        <w:t>надання тимчасових принципів</w:t>
      </w:r>
      <w:r w:rsidR="00E568A1" w:rsidRPr="00495B62">
        <w:rPr>
          <w:rFonts w:ascii="Arial" w:hAnsi="Arial" w:cs="Arial"/>
          <w:lang w:val="uk-UA"/>
        </w:rPr>
        <w:t>, якими необіхдно керуватися при використанні бедаквіліну - нового препарату для лікуван</w:t>
      </w:r>
      <w:r>
        <w:rPr>
          <w:rFonts w:ascii="Arial" w:hAnsi="Arial" w:cs="Arial"/>
          <w:lang w:val="uk-UA"/>
        </w:rPr>
        <w:t>ня мультирезистентного ТБ, форми</w:t>
      </w:r>
      <w:r w:rsidR="00E568A1" w:rsidRPr="00495B62">
        <w:rPr>
          <w:rFonts w:ascii="Arial" w:hAnsi="Arial" w:cs="Arial"/>
          <w:lang w:val="uk-UA"/>
        </w:rPr>
        <w:t xml:space="preserve"> ТБ, яка представляє загрозу для життя, - у поєднанні з іншими рекомендованими ВООЗ схемами лікування </w:t>
      </w:r>
      <w:r>
        <w:rPr>
          <w:rFonts w:ascii="Arial" w:hAnsi="Arial" w:cs="Arial"/>
          <w:lang w:val="uk-UA"/>
        </w:rPr>
        <w:t>МР</w:t>
      </w:r>
      <w:r w:rsidR="00E568A1" w:rsidRPr="00495B62">
        <w:rPr>
          <w:rFonts w:ascii="Arial" w:hAnsi="Arial" w:cs="Arial"/>
          <w:lang w:val="uk-UA"/>
        </w:rPr>
        <w:t xml:space="preserve"> ТБ. Рекомендації також визначають основні умови лікування та </w:t>
      </w:r>
      <w:r w:rsidR="009F2EA2">
        <w:rPr>
          <w:rFonts w:ascii="Arial" w:hAnsi="Arial" w:cs="Arial"/>
          <w:lang w:val="uk-UA"/>
        </w:rPr>
        <w:t>супроводу пацієнта</w:t>
      </w:r>
      <w:r w:rsidR="00E568A1" w:rsidRPr="00495B62">
        <w:rPr>
          <w:rFonts w:ascii="Arial" w:hAnsi="Arial" w:cs="Arial"/>
          <w:lang w:val="uk-UA"/>
        </w:rPr>
        <w:t xml:space="preserve"> </w:t>
      </w:r>
      <w:r w:rsidR="009F2EA2">
        <w:rPr>
          <w:rFonts w:ascii="Arial" w:hAnsi="Arial" w:cs="Arial"/>
          <w:lang w:val="uk-UA"/>
        </w:rPr>
        <w:t>з</w:t>
      </w:r>
      <w:r w:rsidR="00E568A1" w:rsidRPr="00495B62">
        <w:rPr>
          <w:rFonts w:ascii="Arial" w:hAnsi="Arial" w:cs="Arial"/>
          <w:lang w:val="uk-UA"/>
        </w:rPr>
        <w:t xml:space="preserve"> </w:t>
      </w:r>
      <w:r w:rsidR="007D3500">
        <w:rPr>
          <w:rFonts w:ascii="Arial" w:hAnsi="Arial" w:cs="Arial"/>
          <w:lang w:val="uk-UA"/>
        </w:rPr>
        <w:t>застосування</w:t>
      </w:r>
      <w:r w:rsidR="009F2EA2">
        <w:rPr>
          <w:rFonts w:ascii="Arial" w:hAnsi="Arial" w:cs="Arial"/>
          <w:lang w:val="uk-UA"/>
        </w:rPr>
        <w:t>м</w:t>
      </w:r>
      <w:r w:rsidR="00E568A1" w:rsidRPr="00495B62">
        <w:rPr>
          <w:rFonts w:ascii="Arial" w:hAnsi="Arial" w:cs="Arial"/>
          <w:lang w:val="uk-UA"/>
        </w:rPr>
        <w:t xml:space="preserve"> ць</w:t>
      </w:r>
      <w:r w:rsidR="000C28DE">
        <w:rPr>
          <w:rFonts w:ascii="Arial" w:hAnsi="Arial" w:cs="Arial"/>
          <w:lang w:val="uk-UA"/>
        </w:rPr>
        <w:t xml:space="preserve">ого препарату, зокрема критерії </w:t>
      </w:r>
      <w:r w:rsidR="00404246">
        <w:rPr>
          <w:rFonts w:ascii="Arial" w:hAnsi="Arial" w:cs="Arial"/>
          <w:lang w:val="uk-UA"/>
        </w:rPr>
        <w:t>призначення препарату</w:t>
      </w:r>
      <w:r w:rsidR="00E568A1" w:rsidRPr="00495B62">
        <w:rPr>
          <w:rFonts w:ascii="Arial" w:hAnsi="Arial" w:cs="Arial"/>
          <w:lang w:val="uk-UA"/>
        </w:rPr>
        <w:t xml:space="preserve"> п</w:t>
      </w:r>
      <w:r w:rsidR="009F2EA2">
        <w:rPr>
          <w:rFonts w:ascii="Arial" w:hAnsi="Arial" w:cs="Arial"/>
          <w:lang w:val="uk-UA"/>
        </w:rPr>
        <w:t>ац</w:t>
      </w:r>
      <w:r w:rsidR="00404246">
        <w:rPr>
          <w:rFonts w:ascii="Arial" w:hAnsi="Arial" w:cs="Arial"/>
          <w:lang w:val="uk-UA"/>
        </w:rPr>
        <w:t xml:space="preserve">ієнту та умови безпеки, перелік </w:t>
      </w:r>
      <w:r w:rsidR="009F2EA2">
        <w:rPr>
          <w:rFonts w:ascii="Arial" w:hAnsi="Arial" w:cs="Arial"/>
          <w:lang w:val="uk-UA"/>
        </w:rPr>
        <w:t>необхідних застережень, пов'язаних</w:t>
      </w:r>
      <w:r w:rsidR="00E568A1" w:rsidRPr="00495B62">
        <w:rPr>
          <w:rFonts w:ascii="Arial" w:hAnsi="Arial" w:cs="Arial"/>
          <w:lang w:val="uk-UA"/>
        </w:rPr>
        <w:t xml:space="preserve"> з </w:t>
      </w:r>
      <w:r w:rsidR="007D3500">
        <w:rPr>
          <w:rFonts w:ascii="Arial" w:hAnsi="Arial" w:cs="Arial"/>
          <w:lang w:val="uk-UA"/>
        </w:rPr>
        <w:t>застосування</w:t>
      </w:r>
      <w:r w:rsidR="00E568A1" w:rsidRPr="00495B62">
        <w:rPr>
          <w:rFonts w:ascii="Arial" w:hAnsi="Arial" w:cs="Arial"/>
          <w:lang w:val="uk-UA"/>
        </w:rPr>
        <w:t>м нового препарату</w:t>
      </w:r>
      <w:r w:rsidR="009F2EA2">
        <w:rPr>
          <w:rFonts w:ascii="Arial" w:hAnsi="Arial" w:cs="Arial"/>
          <w:lang w:val="uk-UA"/>
        </w:rPr>
        <w:t xml:space="preserve"> щодо </w:t>
      </w:r>
      <w:r w:rsidR="00E568A1" w:rsidRPr="00495B62">
        <w:rPr>
          <w:rFonts w:ascii="Arial" w:hAnsi="Arial" w:cs="Arial"/>
          <w:lang w:val="uk-UA"/>
        </w:rPr>
        <w:t xml:space="preserve">якого </w:t>
      </w:r>
      <w:r w:rsidR="009F2EA2">
        <w:rPr>
          <w:rFonts w:ascii="Arial" w:hAnsi="Arial" w:cs="Arial"/>
          <w:lang w:val="uk-UA"/>
        </w:rPr>
        <w:t xml:space="preserve">на даний час відсутні </w:t>
      </w:r>
      <w:r w:rsidR="00E568A1" w:rsidRPr="00495B62">
        <w:rPr>
          <w:rFonts w:ascii="Arial" w:hAnsi="Arial" w:cs="Arial"/>
          <w:lang w:val="uk-UA"/>
        </w:rPr>
        <w:t>дані про клінічні випробування Фази III.</w:t>
      </w:r>
    </w:p>
    <w:p w14:paraId="172E99B1" w14:textId="77777777" w:rsidR="00E568A1" w:rsidRPr="00495B62" w:rsidRDefault="00E568A1" w:rsidP="0037724F">
      <w:pPr>
        <w:autoSpaceDE w:val="0"/>
        <w:autoSpaceDN w:val="0"/>
        <w:adjustRightInd w:val="0"/>
        <w:spacing w:after="0" w:line="240" w:lineRule="auto"/>
        <w:jc w:val="both"/>
        <w:rPr>
          <w:rFonts w:ascii="Arial" w:hAnsi="Arial" w:cs="Arial"/>
          <w:lang w:val="uk-UA"/>
        </w:rPr>
      </w:pPr>
    </w:p>
    <w:p w14:paraId="71CAC7E1" w14:textId="01EA346D" w:rsidR="00E568A1" w:rsidRDefault="00E568A1" w:rsidP="0037724F">
      <w:pPr>
        <w:autoSpaceDE w:val="0"/>
        <w:autoSpaceDN w:val="0"/>
        <w:adjustRightInd w:val="0"/>
        <w:spacing w:after="0" w:line="240" w:lineRule="auto"/>
        <w:jc w:val="both"/>
        <w:rPr>
          <w:rFonts w:ascii="Arial" w:hAnsi="Arial" w:cs="Arial"/>
          <w:color w:val="000000"/>
          <w:lang w:val="uk-UA"/>
        </w:rPr>
      </w:pPr>
      <w:r w:rsidRPr="00495B62">
        <w:rPr>
          <w:rFonts w:ascii="Arial" w:hAnsi="Arial" w:cs="Arial"/>
          <w:color w:val="000000"/>
        </w:rPr>
        <w:t xml:space="preserve">Керівні принципи ВООЗ вже доступні для програмного лікування </w:t>
      </w:r>
      <w:r w:rsidR="00404246">
        <w:rPr>
          <w:rFonts w:ascii="Arial" w:hAnsi="Arial" w:cs="Arial"/>
          <w:color w:val="000000"/>
        </w:rPr>
        <w:t>МР</w:t>
      </w:r>
      <w:r w:rsidRPr="00495B62">
        <w:rPr>
          <w:rFonts w:ascii="Arial" w:hAnsi="Arial" w:cs="Arial"/>
          <w:color w:val="000000"/>
        </w:rPr>
        <w:t xml:space="preserve"> ТБ і поточний документ слід розглядати разом з цими керівними принципами. </w:t>
      </w:r>
      <w:r w:rsidRPr="00713994">
        <w:rPr>
          <w:rFonts w:ascii="Arial" w:hAnsi="Arial" w:cs="Arial"/>
          <w:color w:val="000000"/>
          <w:vertAlign w:val="superscript"/>
        </w:rPr>
        <w:t>8, 9</w:t>
      </w:r>
    </w:p>
    <w:p w14:paraId="0B6305DE" w14:textId="77777777" w:rsidR="00E568A1" w:rsidRPr="00495B62" w:rsidRDefault="00E568A1" w:rsidP="0037724F">
      <w:pPr>
        <w:autoSpaceDE w:val="0"/>
        <w:autoSpaceDN w:val="0"/>
        <w:adjustRightInd w:val="0"/>
        <w:spacing w:after="0" w:line="240" w:lineRule="auto"/>
        <w:jc w:val="both"/>
        <w:rPr>
          <w:rFonts w:ascii="Arial" w:hAnsi="Arial" w:cs="Arial"/>
          <w:color w:val="000000"/>
          <w:lang w:val="uk-UA"/>
        </w:rPr>
      </w:pPr>
    </w:p>
    <w:p w14:paraId="70E4C453" w14:textId="12BE3564" w:rsidR="00E568A1" w:rsidRDefault="00E568A1" w:rsidP="0037724F">
      <w:pPr>
        <w:autoSpaceDE w:val="0"/>
        <w:autoSpaceDN w:val="0"/>
        <w:adjustRightInd w:val="0"/>
        <w:spacing w:after="0" w:line="240" w:lineRule="auto"/>
        <w:jc w:val="both"/>
        <w:rPr>
          <w:rFonts w:ascii="Arial" w:hAnsi="Arial" w:cs="Arial"/>
          <w:color w:val="000000"/>
          <w:lang w:val="uk-UA"/>
        </w:rPr>
      </w:pPr>
      <w:r w:rsidRPr="00303DEC">
        <w:rPr>
          <w:rFonts w:ascii="Arial" w:hAnsi="Arial" w:cs="Arial"/>
          <w:color w:val="000000"/>
        </w:rPr>
        <w:t xml:space="preserve">Цей документ слід розглядати </w:t>
      </w:r>
      <w:r w:rsidR="009F2EA2">
        <w:rPr>
          <w:rFonts w:ascii="Arial" w:hAnsi="Arial" w:cs="Arial"/>
          <w:color w:val="000000"/>
          <w:lang w:val="uk-UA"/>
        </w:rPr>
        <w:t>одночасно з</w:t>
      </w:r>
      <w:r w:rsidRPr="00303DEC">
        <w:rPr>
          <w:rFonts w:ascii="Arial" w:hAnsi="Arial" w:cs="Arial"/>
          <w:color w:val="000000"/>
        </w:rPr>
        <w:t xml:space="preserve"> детальними висновками, що містяться в звіті засідання </w:t>
      </w:r>
      <w:r w:rsidRPr="00303DEC">
        <w:rPr>
          <w:rFonts w:ascii="Arial" w:hAnsi="Arial" w:cs="Arial"/>
          <w:color w:val="000000"/>
          <w:lang w:val="en-US"/>
        </w:rPr>
        <w:t>E</w:t>
      </w:r>
      <w:r w:rsidRPr="00303DEC">
        <w:rPr>
          <w:rFonts w:ascii="Arial" w:hAnsi="Arial" w:cs="Arial"/>
          <w:color w:val="000000"/>
        </w:rPr>
        <w:t>Г. Т</w:t>
      </w:r>
      <w:r w:rsidR="009F2EA2">
        <w:rPr>
          <w:rFonts w:ascii="Arial" w:hAnsi="Arial" w:cs="Arial"/>
          <w:color w:val="000000"/>
        </w:rPr>
        <w:t>имчасове керівництво  визначає</w:t>
      </w:r>
      <w:r w:rsidRPr="00303DEC">
        <w:rPr>
          <w:rFonts w:ascii="Arial" w:hAnsi="Arial" w:cs="Arial"/>
          <w:color w:val="000000"/>
        </w:rPr>
        <w:t xml:space="preserve"> місце бедаквіліну в контексті існуючих рекомендацій щодо лікування </w:t>
      </w:r>
      <w:r w:rsidR="00404246">
        <w:rPr>
          <w:rFonts w:ascii="Arial" w:hAnsi="Arial" w:cs="Arial"/>
          <w:color w:val="000000"/>
        </w:rPr>
        <w:t>МР</w:t>
      </w:r>
      <w:r w:rsidRPr="00303DEC">
        <w:rPr>
          <w:rFonts w:ascii="Arial" w:hAnsi="Arial" w:cs="Arial"/>
          <w:color w:val="000000"/>
        </w:rPr>
        <w:t xml:space="preserve"> ТБ, оскільки препарат не можна використовувати </w:t>
      </w:r>
      <w:r w:rsidR="009F2EA2">
        <w:rPr>
          <w:rFonts w:ascii="Arial" w:hAnsi="Arial" w:cs="Arial"/>
          <w:color w:val="000000"/>
          <w:lang w:val="uk-UA"/>
        </w:rPr>
        <w:t>окремо,</w:t>
      </w:r>
      <w:r w:rsidRPr="00303DEC">
        <w:rPr>
          <w:rFonts w:ascii="Arial" w:hAnsi="Arial" w:cs="Arial"/>
          <w:color w:val="000000"/>
        </w:rPr>
        <w:t xml:space="preserve"> а слід додавати до схем лікування </w:t>
      </w:r>
      <w:r w:rsidR="00404246">
        <w:rPr>
          <w:rFonts w:ascii="Arial" w:hAnsi="Arial" w:cs="Arial"/>
          <w:color w:val="000000"/>
        </w:rPr>
        <w:t>МР ТБ</w:t>
      </w:r>
      <w:r w:rsidRPr="00303DEC">
        <w:rPr>
          <w:rFonts w:ascii="Arial" w:hAnsi="Arial" w:cs="Arial"/>
          <w:color w:val="000000"/>
        </w:rPr>
        <w:t xml:space="preserve"> відповідно до </w:t>
      </w:r>
      <w:r w:rsidR="00404246" w:rsidRPr="00303DEC">
        <w:rPr>
          <w:rFonts w:ascii="Arial" w:hAnsi="Arial" w:cs="Arial"/>
          <w:color w:val="000000"/>
        </w:rPr>
        <w:t xml:space="preserve">розроблених </w:t>
      </w:r>
      <w:r w:rsidRPr="00303DEC">
        <w:rPr>
          <w:rFonts w:ascii="Arial" w:hAnsi="Arial" w:cs="Arial"/>
          <w:color w:val="000000"/>
        </w:rPr>
        <w:t>рекомендованих ВООЗ принципів.</w:t>
      </w:r>
    </w:p>
    <w:p w14:paraId="134CAA94" w14:textId="77777777" w:rsidR="00E568A1" w:rsidRPr="00303DEC" w:rsidRDefault="00E568A1" w:rsidP="0037724F">
      <w:pPr>
        <w:autoSpaceDE w:val="0"/>
        <w:autoSpaceDN w:val="0"/>
        <w:adjustRightInd w:val="0"/>
        <w:spacing w:after="0" w:line="240" w:lineRule="auto"/>
        <w:jc w:val="both"/>
        <w:rPr>
          <w:rFonts w:ascii="Arial" w:hAnsi="Arial" w:cs="Arial"/>
          <w:color w:val="000000"/>
          <w:lang w:val="uk-UA"/>
        </w:rPr>
      </w:pPr>
    </w:p>
    <w:p w14:paraId="7F389E25"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303DEC">
        <w:rPr>
          <w:rFonts w:ascii="Arial" w:hAnsi="Arial" w:cs="Arial"/>
          <w:color w:val="000000"/>
        </w:rPr>
        <w:t>У наступних публікаціях ВООЗ будуть представлені посібники та інструменти для практичного застосування тимчасових рекомендацій та введення бедаквіліну в рамках контексту програми.</w:t>
      </w:r>
    </w:p>
    <w:p w14:paraId="405F5E23" w14:textId="481CB53C" w:rsidR="00AF7479" w:rsidRPr="00841822" w:rsidRDefault="00AF7479" w:rsidP="00AF7479">
      <w:pPr>
        <w:autoSpaceDE w:val="0"/>
        <w:autoSpaceDN w:val="0"/>
        <w:adjustRightInd w:val="0"/>
        <w:spacing w:after="0" w:line="240" w:lineRule="auto"/>
        <w:jc w:val="both"/>
        <w:rPr>
          <w:rFonts w:ascii="Arial" w:hAnsi="Arial" w:cs="Arial"/>
          <w:color w:val="000000"/>
          <w:sz w:val="24"/>
          <w:szCs w:val="24"/>
          <w:lang w:val="uk-UA"/>
        </w:rPr>
      </w:pPr>
      <w:r w:rsidRPr="00841822">
        <w:rPr>
          <w:rFonts w:ascii="Arial" w:hAnsi="Arial" w:cs="Arial"/>
          <w:color w:val="000000"/>
          <w:sz w:val="24"/>
          <w:szCs w:val="24"/>
          <w:lang w:val="uk-UA"/>
        </w:rPr>
        <w:t>_________________</w:t>
      </w:r>
    </w:p>
    <w:p w14:paraId="25AB4DC4" w14:textId="77777777" w:rsidR="00AF7479" w:rsidRPr="00AF7479" w:rsidRDefault="00AF7479" w:rsidP="00AF7479">
      <w:pPr>
        <w:autoSpaceDE w:val="0"/>
        <w:autoSpaceDN w:val="0"/>
        <w:adjustRightInd w:val="0"/>
        <w:spacing w:after="0" w:line="240" w:lineRule="auto"/>
        <w:jc w:val="both"/>
        <w:rPr>
          <w:rFonts w:ascii="Arial" w:hAnsi="Arial" w:cs="Arial"/>
          <w:color w:val="000000"/>
          <w:sz w:val="18"/>
          <w:szCs w:val="18"/>
          <w:lang w:val="uk-UA"/>
        </w:rPr>
      </w:pPr>
      <w:r w:rsidRPr="0011456E">
        <w:rPr>
          <w:rFonts w:ascii="Arial" w:hAnsi="Arial" w:cs="Arial"/>
          <w:b/>
          <w:color w:val="000000"/>
          <w:sz w:val="20"/>
          <w:szCs w:val="20"/>
          <w:vertAlign w:val="superscript"/>
          <w:lang w:val="uk-UA"/>
        </w:rPr>
        <w:t xml:space="preserve">8 </w:t>
      </w:r>
      <w:r>
        <w:rPr>
          <w:rFonts w:ascii="Arial" w:hAnsi="Arial" w:cs="Arial"/>
          <w:color w:val="000000"/>
          <w:sz w:val="20"/>
          <w:szCs w:val="20"/>
          <w:lang w:val="uk-UA"/>
        </w:rPr>
        <w:t xml:space="preserve"> </w:t>
      </w:r>
      <w:r w:rsidRPr="00AF7479">
        <w:rPr>
          <w:rFonts w:ascii="Arial" w:hAnsi="Arial" w:cs="Arial"/>
          <w:i/>
          <w:color w:val="000000"/>
          <w:sz w:val="18"/>
          <w:szCs w:val="18"/>
          <w:lang w:val="uk-UA"/>
        </w:rPr>
        <w:t>Керівні принципи з програмного лікування медикаментозно стійкого туберкульозу,  Екстренне оновлення 2008 року</w:t>
      </w:r>
      <w:r w:rsidRPr="00AF7479">
        <w:rPr>
          <w:rFonts w:ascii="Arial" w:hAnsi="Arial" w:cs="Arial"/>
          <w:color w:val="000000"/>
          <w:sz w:val="18"/>
          <w:szCs w:val="18"/>
          <w:lang w:val="uk-UA"/>
        </w:rPr>
        <w:t xml:space="preserve"> (WHO / HTM / TB / 2008.402). Женева, Всесвітня організація охорони здоров'я, 2008.</w:t>
      </w:r>
    </w:p>
    <w:p w14:paraId="37D32501" w14:textId="77777777" w:rsidR="00AF7479" w:rsidRPr="00AF7479" w:rsidRDefault="00AF7479" w:rsidP="00AF7479">
      <w:pPr>
        <w:autoSpaceDE w:val="0"/>
        <w:autoSpaceDN w:val="0"/>
        <w:adjustRightInd w:val="0"/>
        <w:spacing w:after="0" w:line="240" w:lineRule="auto"/>
        <w:jc w:val="both"/>
        <w:rPr>
          <w:rFonts w:ascii="Arial" w:hAnsi="Arial" w:cs="Arial"/>
          <w:color w:val="000000"/>
          <w:sz w:val="18"/>
          <w:szCs w:val="18"/>
          <w:lang w:val="uk-UA"/>
        </w:rPr>
      </w:pPr>
      <w:r w:rsidRPr="0011456E">
        <w:rPr>
          <w:rFonts w:ascii="Arial" w:hAnsi="Arial" w:cs="Arial"/>
          <w:b/>
          <w:color w:val="000000"/>
          <w:sz w:val="20"/>
          <w:szCs w:val="20"/>
          <w:vertAlign w:val="superscript"/>
          <w:lang w:val="uk-UA"/>
        </w:rPr>
        <w:t xml:space="preserve">9 </w:t>
      </w:r>
      <w:r>
        <w:rPr>
          <w:rFonts w:ascii="Arial" w:hAnsi="Arial" w:cs="Arial"/>
          <w:color w:val="000000"/>
          <w:sz w:val="20"/>
          <w:szCs w:val="20"/>
          <w:lang w:val="uk-UA"/>
        </w:rPr>
        <w:t xml:space="preserve"> </w:t>
      </w:r>
      <w:r w:rsidRPr="00AF7479">
        <w:rPr>
          <w:rFonts w:ascii="Arial" w:hAnsi="Arial" w:cs="Arial"/>
          <w:i/>
          <w:color w:val="000000"/>
          <w:sz w:val="18"/>
          <w:szCs w:val="18"/>
          <w:lang w:val="uk-UA"/>
        </w:rPr>
        <w:t>Керівні принципи з програмного лікування медикаментозно стійкого туберкульозу,  оновлення 2011 року</w:t>
      </w:r>
      <w:r w:rsidRPr="00AF7479">
        <w:rPr>
          <w:rFonts w:ascii="Arial" w:hAnsi="Arial" w:cs="Arial"/>
          <w:color w:val="000000"/>
          <w:sz w:val="18"/>
          <w:szCs w:val="18"/>
          <w:lang w:val="uk-UA"/>
        </w:rPr>
        <w:t>. Женева: Всесвітня організація охорони здоров'я, 2011.</w:t>
      </w:r>
    </w:p>
    <w:p w14:paraId="261306D6" w14:textId="77777777" w:rsidR="00404246" w:rsidRDefault="00404246" w:rsidP="0037724F">
      <w:pPr>
        <w:autoSpaceDE w:val="0"/>
        <w:autoSpaceDN w:val="0"/>
        <w:adjustRightInd w:val="0"/>
        <w:spacing w:after="0" w:line="240" w:lineRule="auto"/>
        <w:jc w:val="both"/>
        <w:rPr>
          <w:rFonts w:ascii="Arial" w:hAnsi="Arial" w:cs="Arial"/>
          <w:bCs/>
          <w:color w:val="000000"/>
        </w:rPr>
      </w:pPr>
    </w:p>
    <w:p w14:paraId="3A3F782C" w14:textId="4E0CF482" w:rsidR="00E568A1" w:rsidRPr="00A109FF" w:rsidRDefault="00E568A1" w:rsidP="0037724F">
      <w:pPr>
        <w:autoSpaceDE w:val="0"/>
        <w:autoSpaceDN w:val="0"/>
        <w:adjustRightInd w:val="0"/>
        <w:spacing w:after="0" w:line="240" w:lineRule="auto"/>
        <w:jc w:val="both"/>
        <w:rPr>
          <w:rFonts w:ascii="Arial" w:hAnsi="Arial" w:cs="Arial"/>
          <w:bCs/>
          <w:color w:val="000000"/>
        </w:rPr>
      </w:pPr>
      <w:r w:rsidRPr="00A109FF">
        <w:rPr>
          <w:rFonts w:ascii="Arial" w:hAnsi="Arial" w:cs="Arial"/>
          <w:bCs/>
          <w:color w:val="000000"/>
        </w:rPr>
        <w:lastRenderedPageBreak/>
        <w:t xml:space="preserve">Запланована дата розгляду цього тимчасового керівництва - 2015 рік, або раніше, у разі </w:t>
      </w:r>
      <w:r w:rsidR="009F2EA2">
        <w:rPr>
          <w:rFonts w:ascii="Arial" w:hAnsi="Arial" w:cs="Arial"/>
          <w:bCs/>
          <w:color w:val="000000"/>
          <w:lang w:val="uk-UA"/>
        </w:rPr>
        <w:t xml:space="preserve">появи </w:t>
      </w:r>
      <w:r w:rsidRPr="00A109FF">
        <w:rPr>
          <w:rFonts w:ascii="Arial" w:hAnsi="Arial" w:cs="Arial"/>
          <w:bCs/>
          <w:color w:val="000000"/>
        </w:rPr>
        <w:t xml:space="preserve">значних </w:t>
      </w:r>
      <w:r w:rsidR="009F2EA2">
        <w:rPr>
          <w:rFonts w:ascii="Arial" w:hAnsi="Arial" w:cs="Arial"/>
          <w:bCs/>
          <w:color w:val="000000"/>
          <w:lang w:val="uk-UA"/>
        </w:rPr>
        <w:t>розробок</w:t>
      </w:r>
      <w:r w:rsidRPr="00A109FF">
        <w:rPr>
          <w:rFonts w:ascii="Arial" w:hAnsi="Arial" w:cs="Arial"/>
          <w:bCs/>
          <w:color w:val="000000"/>
        </w:rPr>
        <w:t>. Очікується, що дані, отримані у ході запланованих к</w:t>
      </w:r>
      <w:r w:rsidR="00A33A56">
        <w:rPr>
          <w:rFonts w:ascii="Arial" w:hAnsi="Arial" w:cs="Arial"/>
          <w:bCs/>
          <w:color w:val="000000"/>
        </w:rPr>
        <w:t xml:space="preserve">лінічних випробувань З-ої Фази </w:t>
      </w:r>
      <w:r w:rsidRPr="00A109FF">
        <w:rPr>
          <w:rFonts w:ascii="Arial" w:hAnsi="Arial" w:cs="Arial"/>
          <w:bCs/>
          <w:color w:val="000000"/>
        </w:rPr>
        <w:t xml:space="preserve">та </w:t>
      </w:r>
      <w:r w:rsidR="00A33A56">
        <w:rPr>
          <w:rFonts w:ascii="Arial" w:hAnsi="Arial" w:cs="Arial"/>
          <w:bCs/>
          <w:color w:val="000000"/>
        </w:rPr>
        <w:t xml:space="preserve">від країн, де заплановане </w:t>
      </w:r>
      <w:r w:rsidR="00404246">
        <w:rPr>
          <w:rFonts w:ascii="Arial" w:hAnsi="Arial" w:cs="Arial"/>
          <w:bCs/>
          <w:color w:val="000000"/>
          <w:lang w:val="uk-UA"/>
        </w:rPr>
        <w:t>раннє</w:t>
      </w:r>
      <w:r w:rsidR="00AF7479">
        <w:rPr>
          <w:rFonts w:ascii="Arial" w:hAnsi="Arial" w:cs="Arial"/>
          <w:bCs/>
          <w:color w:val="000000"/>
          <w:lang w:val="uk-UA"/>
        </w:rPr>
        <w:t xml:space="preserve"> </w:t>
      </w:r>
      <w:r w:rsidRPr="00A109FF">
        <w:rPr>
          <w:rFonts w:ascii="Arial" w:hAnsi="Arial" w:cs="Arial"/>
          <w:bCs/>
          <w:color w:val="000000"/>
        </w:rPr>
        <w:t xml:space="preserve">запровадження </w:t>
      </w:r>
      <w:r w:rsidR="00A33A56">
        <w:rPr>
          <w:rFonts w:ascii="Arial" w:hAnsi="Arial" w:cs="Arial"/>
          <w:bCs/>
          <w:color w:val="000000"/>
          <w:lang w:val="uk-UA"/>
        </w:rPr>
        <w:t>препарату</w:t>
      </w:r>
      <w:r w:rsidRPr="00A109FF">
        <w:rPr>
          <w:rFonts w:ascii="Arial" w:hAnsi="Arial" w:cs="Arial"/>
          <w:bCs/>
          <w:color w:val="000000"/>
        </w:rPr>
        <w:t>, допов</w:t>
      </w:r>
      <w:r w:rsidR="00A33A56">
        <w:rPr>
          <w:rFonts w:ascii="Arial" w:hAnsi="Arial" w:cs="Arial"/>
          <w:bCs/>
          <w:color w:val="000000"/>
        </w:rPr>
        <w:t xml:space="preserve">нять майбутній огляд, що призведе до </w:t>
      </w:r>
      <w:r w:rsidRPr="00A109FF">
        <w:rPr>
          <w:rFonts w:ascii="Arial" w:hAnsi="Arial" w:cs="Arial"/>
          <w:bCs/>
          <w:color w:val="000000"/>
        </w:rPr>
        <w:t>уточнення тимчасових рекомендацій.</w:t>
      </w:r>
    </w:p>
    <w:p w14:paraId="2FF1FD89" w14:textId="77777777" w:rsidR="00AF7479" w:rsidRPr="00713994" w:rsidRDefault="00AF7479" w:rsidP="0037724F">
      <w:pPr>
        <w:autoSpaceDE w:val="0"/>
        <w:autoSpaceDN w:val="0"/>
        <w:adjustRightInd w:val="0"/>
        <w:spacing w:after="0" w:line="240" w:lineRule="auto"/>
        <w:jc w:val="both"/>
        <w:rPr>
          <w:rFonts w:ascii="Arial" w:hAnsi="Arial" w:cs="Arial"/>
          <w:b/>
          <w:bCs/>
          <w:color w:val="000000"/>
          <w:sz w:val="28"/>
          <w:szCs w:val="28"/>
        </w:rPr>
      </w:pPr>
    </w:p>
    <w:p w14:paraId="71984A88" w14:textId="77777777" w:rsidR="00E568A1" w:rsidRPr="00D12E5D"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11456E">
        <w:rPr>
          <w:rFonts w:ascii="Arial" w:hAnsi="Arial" w:cs="Arial"/>
          <w:b/>
          <w:bCs/>
          <w:color w:val="6A2041"/>
          <w:sz w:val="28"/>
          <w:szCs w:val="28"/>
        </w:rPr>
        <w:t xml:space="preserve">2.2 </w:t>
      </w:r>
      <w:r w:rsidRPr="0011456E">
        <w:rPr>
          <w:rFonts w:ascii="Arial" w:hAnsi="Arial" w:cs="Arial"/>
          <w:b/>
          <w:bCs/>
          <w:color w:val="6A2041"/>
          <w:sz w:val="28"/>
          <w:szCs w:val="28"/>
          <w:lang w:val="uk-UA"/>
        </w:rPr>
        <w:t>Цільова аудиторія</w:t>
      </w:r>
    </w:p>
    <w:p w14:paraId="7A703478" w14:textId="77777777" w:rsidR="00E568A1" w:rsidRPr="00713994" w:rsidRDefault="00E568A1" w:rsidP="0037724F">
      <w:pPr>
        <w:autoSpaceDE w:val="0"/>
        <w:autoSpaceDN w:val="0"/>
        <w:adjustRightInd w:val="0"/>
        <w:spacing w:after="0" w:line="240" w:lineRule="auto"/>
        <w:jc w:val="both"/>
        <w:rPr>
          <w:rFonts w:ascii="Arial" w:hAnsi="Arial" w:cs="Arial"/>
          <w:b/>
          <w:bCs/>
          <w:color w:val="000000"/>
          <w:sz w:val="20"/>
          <w:szCs w:val="20"/>
        </w:rPr>
      </w:pPr>
    </w:p>
    <w:p w14:paraId="3D99E38B" w14:textId="6A10AF78" w:rsidR="00E568A1" w:rsidRPr="00AF7479" w:rsidRDefault="00AF7479" w:rsidP="0037724F">
      <w:pPr>
        <w:autoSpaceDE w:val="0"/>
        <w:autoSpaceDN w:val="0"/>
        <w:adjustRightInd w:val="0"/>
        <w:spacing w:after="0" w:line="240" w:lineRule="auto"/>
        <w:jc w:val="both"/>
        <w:rPr>
          <w:rFonts w:ascii="Arial" w:hAnsi="Arial" w:cs="Arial"/>
          <w:color w:val="000000"/>
          <w:lang w:val="uk-UA"/>
        </w:rPr>
      </w:pPr>
      <w:r w:rsidRPr="00713994">
        <w:rPr>
          <w:rFonts w:ascii="Arial" w:hAnsi="Arial" w:cs="Arial"/>
          <w:color w:val="000000"/>
        </w:rPr>
        <w:t>Основна цільова аудиторія - це</w:t>
      </w:r>
      <w:r w:rsidR="00E568A1" w:rsidRPr="00713994">
        <w:rPr>
          <w:rFonts w:ascii="Arial" w:hAnsi="Arial" w:cs="Arial"/>
          <w:color w:val="000000"/>
        </w:rPr>
        <w:t xml:space="preserve"> національні програми боротьби з туберкульозом (НТП), інші державні органи охор</w:t>
      </w:r>
      <w:r w:rsidRPr="00713994">
        <w:rPr>
          <w:rFonts w:ascii="Arial" w:hAnsi="Arial" w:cs="Arial"/>
          <w:color w:val="000000"/>
        </w:rPr>
        <w:t>они здоров'я та інші державні і</w:t>
      </w:r>
      <w:r w:rsidR="00E568A1" w:rsidRPr="00713994">
        <w:rPr>
          <w:rFonts w:ascii="Arial" w:hAnsi="Arial" w:cs="Arial"/>
          <w:color w:val="000000"/>
        </w:rPr>
        <w:t xml:space="preserve"> приватні партнери, які беруть участь у плануванні, здійсненні та моніторингу діяльності </w:t>
      </w:r>
      <w:r w:rsidRPr="00AF7479">
        <w:rPr>
          <w:rFonts w:ascii="Arial" w:hAnsi="Arial" w:cs="Arial"/>
          <w:color w:val="000000"/>
          <w:lang w:val="uk-UA"/>
        </w:rPr>
        <w:t>по</w:t>
      </w:r>
      <w:r w:rsidR="00E568A1" w:rsidRPr="00AF7479">
        <w:rPr>
          <w:rFonts w:ascii="Arial" w:hAnsi="Arial" w:cs="Arial"/>
          <w:color w:val="000000"/>
          <w:lang w:val="uk-UA"/>
        </w:rPr>
        <w:t xml:space="preserve"> </w:t>
      </w:r>
      <w:r w:rsidR="00E568A1" w:rsidRPr="00713994">
        <w:rPr>
          <w:rFonts w:ascii="Arial" w:hAnsi="Arial" w:cs="Arial"/>
          <w:color w:val="000000"/>
        </w:rPr>
        <w:t>боротьб</w:t>
      </w:r>
      <w:r w:rsidR="00E568A1" w:rsidRPr="00AF7479">
        <w:rPr>
          <w:rFonts w:ascii="Arial" w:hAnsi="Arial" w:cs="Arial"/>
          <w:color w:val="000000"/>
          <w:lang w:val="uk-UA"/>
        </w:rPr>
        <w:t>і</w:t>
      </w:r>
      <w:r w:rsidR="00E568A1" w:rsidRPr="00713994">
        <w:rPr>
          <w:rFonts w:ascii="Arial" w:hAnsi="Arial" w:cs="Arial"/>
          <w:color w:val="000000"/>
        </w:rPr>
        <w:t xml:space="preserve"> </w:t>
      </w:r>
      <w:r w:rsidRPr="00AF7479">
        <w:rPr>
          <w:rFonts w:ascii="Arial" w:hAnsi="Arial" w:cs="Arial"/>
          <w:color w:val="000000"/>
          <w:lang w:val="uk-UA"/>
        </w:rPr>
        <w:t>з</w:t>
      </w:r>
      <w:r w:rsidR="00E568A1" w:rsidRPr="00713994">
        <w:rPr>
          <w:rFonts w:ascii="Arial" w:hAnsi="Arial" w:cs="Arial"/>
          <w:color w:val="000000"/>
        </w:rPr>
        <w:t xml:space="preserve"> туберкульоз</w:t>
      </w:r>
      <w:r w:rsidRPr="00AF7479">
        <w:rPr>
          <w:rFonts w:ascii="Arial" w:hAnsi="Arial" w:cs="Arial"/>
          <w:color w:val="000000"/>
          <w:lang w:val="uk-UA"/>
        </w:rPr>
        <w:t>ом</w:t>
      </w:r>
      <w:r w:rsidR="00E568A1" w:rsidRPr="00713994">
        <w:rPr>
          <w:rFonts w:ascii="Arial" w:hAnsi="Arial" w:cs="Arial"/>
          <w:color w:val="000000"/>
        </w:rPr>
        <w:t>.</w:t>
      </w:r>
      <w:r w:rsidR="00E568A1" w:rsidRPr="00AF7479">
        <w:rPr>
          <w:rFonts w:ascii="Arial" w:hAnsi="Arial" w:cs="Arial"/>
          <w:color w:val="000000"/>
          <w:lang w:val="uk-UA"/>
        </w:rPr>
        <w:t xml:space="preserve"> Принципи та рекомендації також актуальні для спеціалістів-клініцистів, технічних радників, лаборантів, менеджерів із закупівель ліків, інших постачальників послуг, державних службовців та партнерів-виконавців, які беруть участь у зміцненні служби </w:t>
      </w:r>
      <w:r w:rsidR="009B51D9">
        <w:rPr>
          <w:rFonts w:ascii="Arial" w:hAnsi="Arial" w:cs="Arial"/>
          <w:color w:val="000000"/>
          <w:lang w:val="uk-UA"/>
        </w:rPr>
        <w:t>МР ТБ</w:t>
      </w:r>
      <w:r w:rsidR="00E568A1" w:rsidRPr="00AF7479">
        <w:rPr>
          <w:rFonts w:ascii="Arial" w:hAnsi="Arial" w:cs="Arial"/>
          <w:color w:val="000000"/>
          <w:lang w:val="uk-UA"/>
        </w:rPr>
        <w:t xml:space="preserve"> на рівні країни. Ці рекомендації також можуть допомогти особам, відповідальним за планування програм, бюджетування, мобілізацію ресурсів та навчальну діяльність для служб діагностики туберкульозу.</w:t>
      </w:r>
    </w:p>
    <w:p w14:paraId="53BB2064" w14:textId="77777777" w:rsidR="00E568A1" w:rsidRPr="003B6722"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4CD66E73" w14:textId="6A9456A5" w:rsidR="00E568A1" w:rsidRPr="007E2145" w:rsidRDefault="00E568A1" w:rsidP="009B51D9">
      <w:pPr>
        <w:autoSpaceDE w:val="0"/>
        <w:autoSpaceDN w:val="0"/>
        <w:adjustRightInd w:val="0"/>
        <w:spacing w:after="0" w:line="240" w:lineRule="auto"/>
        <w:jc w:val="both"/>
        <w:outlineLvl w:val="0"/>
        <w:rPr>
          <w:rFonts w:ascii="Arial" w:hAnsi="Arial" w:cs="Arial"/>
          <w:b/>
          <w:bCs/>
          <w:color w:val="6A2041"/>
          <w:sz w:val="32"/>
          <w:szCs w:val="32"/>
          <w:lang w:val="uk-UA"/>
        </w:rPr>
      </w:pPr>
      <w:r w:rsidRPr="007E2145">
        <w:rPr>
          <w:rFonts w:ascii="Arial" w:hAnsi="Arial" w:cs="Arial"/>
          <w:b/>
          <w:bCs/>
          <w:color w:val="6A2041"/>
          <w:sz w:val="32"/>
          <w:szCs w:val="32"/>
        </w:rPr>
        <w:t xml:space="preserve">3. </w:t>
      </w:r>
      <w:r w:rsidRPr="007E2145">
        <w:rPr>
          <w:rFonts w:ascii="Arial" w:hAnsi="Arial" w:cs="Arial"/>
          <w:b/>
          <w:bCs/>
          <w:color w:val="6A2041"/>
          <w:sz w:val="32"/>
          <w:szCs w:val="32"/>
          <w:lang w:val="uk-UA"/>
        </w:rPr>
        <w:t>Процес ро</w:t>
      </w:r>
      <w:r w:rsidR="0011456E" w:rsidRPr="007E2145">
        <w:rPr>
          <w:rFonts w:ascii="Arial" w:hAnsi="Arial" w:cs="Arial"/>
          <w:b/>
          <w:bCs/>
          <w:color w:val="6A2041"/>
          <w:sz w:val="32"/>
          <w:szCs w:val="32"/>
          <w:lang w:val="uk-UA"/>
        </w:rPr>
        <w:t>зробки рекомендацій</w:t>
      </w:r>
    </w:p>
    <w:p w14:paraId="59580E9D" w14:textId="77777777" w:rsidR="00E568A1" w:rsidRPr="00A60AE1" w:rsidRDefault="00E568A1" w:rsidP="0037724F">
      <w:pPr>
        <w:autoSpaceDE w:val="0"/>
        <w:autoSpaceDN w:val="0"/>
        <w:adjustRightInd w:val="0"/>
        <w:spacing w:after="0" w:line="240" w:lineRule="auto"/>
        <w:jc w:val="both"/>
        <w:rPr>
          <w:rFonts w:ascii="Arial" w:hAnsi="Arial" w:cs="Arial"/>
          <w:color w:val="000000"/>
          <w:sz w:val="24"/>
          <w:szCs w:val="24"/>
        </w:rPr>
      </w:pPr>
    </w:p>
    <w:p w14:paraId="223578E6" w14:textId="0CC3B675" w:rsidR="00E568A1" w:rsidRDefault="00307864"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rPr>
        <w:t>Під час розробки рекомендацій чітко дотримувався процес, розроблений</w:t>
      </w:r>
      <w:r w:rsidR="00E568A1" w:rsidRPr="00997D56">
        <w:rPr>
          <w:rFonts w:ascii="Arial" w:hAnsi="Arial" w:cs="Arial"/>
          <w:color w:val="000000"/>
        </w:rPr>
        <w:t xml:space="preserve"> Ком</w:t>
      </w:r>
      <w:r>
        <w:rPr>
          <w:rFonts w:ascii="Arial" w:hAnsi="Arial" w:cs="Arial"/>
          <w:color w:val="000000"/>
        </w:rPr>
        <w:t>ітетом з розгляду рекомендацій</w:t>
      </w:r>
      <w:r w:rsidR="00E568A1" w:rsidRPr="00997D56">
        <w:rPr>
          <w:rFonts w:ascii="Arial" w:hAnsi="Arial" w:cs="Arial"/>
          <w:color w:val="000000"/>
        </w:rPr>
        <w:t xml:space="preserve"> ВООЗ. Була сформована Керівна група ВООЗ з розробки рекомендацій (див. Додаток 1), яка разом з головою </w:t>
      </w:r>
      <w:r w:rsidR="00E568A1" w:rsidRPr="00A60AE1">
        <w:rPr>
          <w:rFonts w:ascii="Arial" w:hAnsi="Arial" w:cs="Arial"/>
          <w:color w:val="000000"/>
        </w:rPr>
        <w:t>ЕГ (див. нижче) визна</w:t>
      </w:r>
      <w:r w:rsidR="00AF7479">
        <w:rPr>
          <w:rFonts w:ascii="Arial" w:hAnsi="Arial" w:cs="Arial"/>
          <w:color w:val="000000"/>
        </w:rPr>
        <w:t xml:space="preserve">чила сфери, що вимагають </w:t>
      </w:r>
      <w:r>
        <w:rPr>
          <w:rFonts w:ascii="Arial" w:hAnsi="Arial" w:cs="Arial"/>
          <w:color w:val="000000"/>
        </w:rPr>
        <w:t>збору і оцінки</w:t>
      </w:r>
      <w:r w:rsidRPr="00307864">
        <w:rPr>
          <w:rFonts w:ascii="Arial" w:hAnsi="Arial" w:cs="Arial"/>
          <w:color w:val="000000"/>
        </w:rPr>
        <w:t xml:space="preserve"> сукупності доказів</w:t>
      </w:r>
      <w:r w:rsidR="00E568A1" w:rsidRPr="00A60AE1">
        <w:rPr>
          <w:rFonts w:ascii="Arial" w:hAnsi="Arial" w:cs="Arial"/>
          <w:color w:val="000000"/>
        </w:rPr>
        <w:t>.</w:t>
      </w:r>
    </w:p>
    <w:p w14:paraId="786BDD8D" w14:textId="77777777" w:rsidR="00AF7479" w:rsidRPr="00713994" w:rsidRDefault="00AF7479" w:rsidP="0037724F">
      <w:pPr>
        <w:autoSpaceDE w:val="0"/>
        <w:autoSpaceDN w:val="0"/>
        <w:adjustRightInd w:val="0"/>
        <w:spacing w:after="0" w:line="240" w:lineRule="auto"/>
        <w:jc w:val="both"/>
        <w:rPr>
          <w:rFonts w:ascii="Arial" w:hAnsi="Arial" w:cs="Arial"/>
          <w:color w:val="FFFFFF"/>
          <w:sz w:val="18"/>
          <w:szCs w:val="18"/>
        </w:rPr>
      </w:pPr>
    </w:p>
    <w:p w14:paraId="5D1F6DCC" w14:textId="77777777" w:rsidR="00E568A1" w:rsidRPr="00713994" w:rsidRDefault="00E568A1" w:rsidP="0037724F">
      <w:pPr>
        <w:autoSpaceDE w:val="0"/>
        <w:autoSpaceDN w:val="0"/>
        <w:adjustRightInd w:val="0"/>
        <w:spacing w:after="0" w:line="240" w:lineRule="auto"/>
        <w:jc w:val="both"/>
        <w:rPr>
          <w:rFonts w:ascii="Arial" w:hAnsi="Arial" w:cs="Arial"/>
          <w:color w:val="FFFFFF"/>
          <w:sz w:val="18"/>
          <w:szCs w:val="18"/>
        </w:rPr>
      </w:pPr>
      <w:r w:rsidRPr="00713994">
        <w:rPr>
          <w:rFonts w:ascii="Arial" w:hAnsi="Arial" w:cs="Arial"/>
          <w:color w:val="FFFFFF"/>
          <w:sz w:val="18"/>
          <w:szCs w:val="18"/>
        </w:rPr>
        <w:t>17</w:t>
      </w:r>
    </w:p>
    <w:p w14:paraId="19C40374" w14:textId="47C7FBCC" w:rsidR="00E568A1" w:rsidRPr="0011456E"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11456E">
        <w:rPr>
          <w:rFonts w:ascii="Arial" w:hAnsi="Arial" w:cs="Arial"/>
          <w:b/>
          <w:bCs/>
          <w:color w:val="6A2041"/>
          <w:sz w:val="28"/>
          <w:szCs w:val="28"/>
        </w:rPr>
        <w:t>3.1</w:t>
      </w:r>
      <w:r w:rsidR="007E2145">
        <w:rPr>
          <w:rFonts w:ascii="Arial" w:hAnsi="Arial" w:cs="Arial"/>
          <w:b/>
          <w:bCs/>
          <w:color w:val="6A2041"/>
          <w:sz w:val="28"/>
          <w:szCs w:val="28"/>
        </w:rPr>
        <w:t>.</w:t>
      </w:r>
      <w:r w:rsidRPr="0011456E">
        <w:rPr>
          <w:rFonts w:ascii="Arial" w:hAnsi="Arial" w:cs="Arial"/>
          <w:b/>
          <w:bCs/>
          <w:color w:val="6A2041"/>
          <w:sz w:val="28"/>
          <w:szCs w:val="28"/>
        </w:rPr>
        <w:t xml:space="preserve"> </w:t>
      </w:r>
      <w:r w:rsidRPr="0011456E">
        <w:rPr>
          <w:rFonts w:ascii="Arial" w:hAnsi="Arial" w:cs="Arial"/>
          <w:b/>
          <w:bCs/>
          <w:color w:val="6A2041"/>
          <w:sz w:val="28"/>
          <w:szCs w:val="28"/>
          <w:lang w:val="uk-UA"/>
        </w:rPr>
        <w:t>Засідання Експертної Групи</w:t>
      </w:r>
    </w:p>
    <w:p w14:paraId="0FC5328A" w14:textId="77777777" w:rsidR="00E568A1" w:rsidRPr="00713994" w:rsidRDefault="00E568A1" w:rsidP="0037724F">
      <w:pPr>
        <w:autoSpaceDE w:val="0"/>
        <w:autoSpaceDN w:val="0"/>
        <w:adjustRightInd w:val="0"/>
        <w:spacing w:after="0" w:line="240" w:lineRule="auto"/>
        <w:jc w:val="both"/>
        <w:rPr>
          <w:rFonts w:ascii="Arial" w:hAnsi="Arial" w:cs="Arial"/>
          <w:color w:val="000000"/>
          <w:sz w:val="24"/>
          <w:szCs w:val="24"/>
        </w:rPr>
      </w:pPr>
    </w:p>
    <w:p w14:paraId="1B3090DB" w14:textId="7F2AE433" w:rsidR="00E568A1" w:rsidRPr="00ED420A" w:rsidRDefault="00E568A1" w:rsidP="0037724F">
      <w:pPr>
        <w:autoSpaceDE w:val="0"/>
        <w:autoSpaceDN w:val="0"/>
        <w:adjustRightInd w:val="0"/>
        <w:spacing w:after="0" w:line="240" w:lineRule="auto"/>
        <w:jc w:val="both"/>
        <w:rPr>
          <w:rFonts w:ascii="Arial" w:hAnsi="Arial" w:cs="Arial"/>
          <w:color w:val="000000"/>
          <w:lang w:val="uk-UA"/>
        </w:rPr>
      </w:pPr>
      <w:r w:rsidRPr="00841822">
        <w:rPr>
          <w:rFonts w:ascii="Arial" w:hAnsi="Arial" w:cs="Arial"/>
          <w:color w:val="000000"/>
          <w:lang w:val="uk-UA"/>
        </w:rPr>
        <w:t xml:space="preserve">З 29 по 30 січня 2013 р. Департамент ВООЗ </w:t>
      </w:r>
      <w:r w:rsidR="0011456E" w:rsidRPr="0011456E">
        <w:rPr>
          <w:rFonts w:ascii="Arial" w:hAnsi="Arial" w:cs="Arial"/>
          <w:color w:val="000000"/>
          <w:lang w:val="uk-UA"/>
        </w:rPr>
        <w:t>"Стоп ТБ</w:t>
      </w:r>
      <w:r w:rsidRPr="0011456E">
        <w:rPr>
          <w:rFonts w:ascii="Arial" w:hAnsi="Arial" w:cs="Arial"/>
          <w:color w:val="000000"/>
          <w:lang w:val="uk-UA"/>
        </w:rPr>
        <w:t>"</w:t>
      </w:r>
      <w:r w:rsidRPr="00841822">
        <w:rPr>
          <w:rFonts w:ascii="Arial" w:hAnsi="Arial" w:cs="Arial"/>
          <w:color w:val="000000"/>
          <w:lang w:val="uk-UA"/>
        </w:rPr>
        <w:t xml:space="preserve"> скликав засідання ЕГ для оцінки всіх наявних даних про бедаквілін</w:t>
      </w:r>
      <w:r w:rsidR="00AF7479">
        <w:rPr>
          <w:rFonts w:ascii="Arial" w:hAnsi="Arial" w:cs="Arial"/>
          <w:color w:val="000000"/>
          <w:lang w:val="uk-UA"/>
        </w:rPr>
        <w:t>,</w:t>
      </w:r>
      <w:r w:rsidRPr="00841822">
        <w:rPr>
          <w:rFonts w:ascii="Arial" w:hAnsi="Arial" w:cs="Arial"/>
          <w:color w:val="000000"/>
          <w:lang w:val="uk-UA"/>
        </w:rPr>
        <w:t xml:space="preserve"> та з метою розробки тимчасових методичних рекомендацій стосовно його </w:t>
      </w:r>
      <w:r w:rsidR="007D3500">
        <w:rPr>
          <w:rFonts w:ascii="Arial" w:hAnsi="Arial" w:cs="Arial"/>
          <w:color w:val="000000"/>
          <w:lang w:val="uk-UA"/>
        </w:rPr>
        <w:t>застосування</w:t>
      </w:r>
      <w:r w:rsidRPr="00841822">
        <w:rPr>
          <w:rFonts w:ascii="Arial" w:hAnsi="Arial" w:cs="Arial"/>
          <w:color w:val="000000"/>
          <w:lang w:val="uk-UA"/>
        </w:rPr>
        <w:t xml:space="preserve"> </w:t>
      </w:r>
      <w:r w:rsidR="00AF7479">
        <w:rPr>
          <w:rFonts w:ascii="Arial" w:hAnsi="Arial" w:cs="Arial"/>
          <w:color w:val="000000"/>
          <w:lang w:val="uk-UA"/>
        </w:rPr>
        <w:t>у разі</w:t>
      </w:r>
      <w:r w:rsidRPr="00841822">
        <w:rPr>
          <w:rFonts w:ascii="Arial" w:hAnsi="Arial" w:cs="Arial"/>
          <w:color w:val="000000"/>
          <w:lang w:val="uk-UA"/>
        </w:rPr>
        <w:t xml:space="preserve"> необхідності.</w:t>
      </w:r>
      <w:r>
        <w:rPr>
          <w:rFonts w:ascii="Arial" w:hAnsi="Arial" w:cs="Arial"/>
          <w:color w:val="000000"/>
          <w:lang w:val="uk-UA"/>
        </w:rPr>
        <w:t xml:space="preserve"> </w:t>
      </w:r>
      <w:r w:rsidR="00AF7479">
        <w:rPr>
          <w:rFonts w:ascii="Arial" w:hAnsi="Arial" w:cs="Arial"/>
          <w:color w:val="000000"/>
          <w:lang w:val="uk-UA"/>
        </w:rPr>
        <w:t xml:space="preserve">До складу </w:t>
      </w:r>
      <w:r w:rsidRPr="00ED420A">
        <w:rPr>
          <w:rFonts w:ascii="Arial" w:hAnsi="Arial" w:cs="Arial"/>
          <w:color w:val="000000"/>
          <w:lang w:val="uk-UA"/>
        </w:rPr>
        <w:t xml:space="preserve">ЕГ (Додаток 2) </w:t>
      </w:r>
      <w:r w:rsidR="00AF7479">
        <w:rPr>
          <w:rFonts w:ascii="Arial" w:hAnsi="Arial" w:cs="Arial"/>
          <w:color w:val="000000"/>
          <w:lang w:val="uk-UA"/>
        </w:rPr>
        <w:t>входили дослідники, епідеміологи, кінцеві споживачі (клініцисти та співробітники</w:t>
      </w:r>
      <w:r w:rsidRPr="00ED420A">
        <w:rPr>
          <w:rFonts w:ascii="Arial" w:hAnsi="Arial" w:cs="Arial"/>
          <w:color w:val="000000"/>
          <w:lang w:val="uk-UA"/>
        </w:rPr>
        <w:t xml:space="preserve"> національних протитуберк</w:t>
      </w:r>
      <w:r w:rsidR="00AF7479">
        <w:rPr>
          <w:rFonts w:ascii="Arial" w:hAnsi="Arial" w:cs="Arial"/>
          <w:color w:val="000000"/>
          <w:lang w:val="uk-UA"/>
        </w:rPr>
        <w:t>ульозних програм), представники громад та експерти</w:t>
      </w:r>
      <w:r w:rsidRPr="00ED420A">
        <w:rPr>
          <w:rFonts w:ascii="Arial" w:hAnsi="Arial" w:cs="Arial"/>
          <w:color w:val="000000"/>
          <w:lang w:val="uk-UA"/>
        </w:rPr>
        <w:t xml:space="preserve"> з узагальнення </w:t>
      </w:r>
      <w:r w:rsidR="00AF7479">
        <w:rPr>
          <w:rFonts w:ascii="Arial" w:hAnsi="Arial" w:cs="Arial"/>
          <w:color w:val="000000"/>
          <w:lang w:val="uk-UA"/>
        </w:rPr>
        <w:t>реультатів</w:t>
      </w:r>
      <w:r w:rsidR="00C4248E">
        <w:rPr>
          <w:rFonts w:ascii="Arial" w:hAnsi="Arial" w:cs="Arial"/>
          <w:color w:val="000000"/>
          <w:lang w:val="uk-UA"/>
        </w:rPr>
        <w:t xml:space="preserve">. Засідання </w:t>
      </w:r>
      <w:r w:rsidRPr="00ED420A">
        <w:rPr>
          <w:rFonts w:ascii="Arial" w:hAnsi="Arial" w:cs="Arial"/>
          <w:color w:val="000000"/>
          <w:lang w:val="uk-UA"/>
        </w:rPr>
        <w:t xml:space="preserve">ЕГ проводилося згідно </w:t>
      </w:r>
      <w:r w:rsidR="00AF7479">
        <w:rPr>
          <w:rFonts w:ascii="Arial" w:hAnsi="Arial" w:cs="Arial"/>
          <w:color w:val="000000"/>
          <w:lang w:val="uk-UA"/>
        </w:rPr>
        <w:t xml:space="preserve">затвердженого </w:t>
      </w:r>
      <w:r w:rsidRPr="00ED420A">
        <w:rPr>
          <w:rFonts w:ascii="Arial" w:hAnsi="Arial" w:cs="Arial"/>
          <w:color w:val="000000"/>
          <w:lang w:val="uk-UA"/>
        </w:rPr>
        <w:t>пор</w:t>
      </w:r>
      <w:r w:rsidR="000C6DAF">
        <w:rPr>
          <w:rFonts w:ascii="Arial" w:hAnsi="Arial" w:cs="Arial"/>
          <w:color w:val="000000"/>
          <w:lang w:val="uk-UA"/>
        </w:rPr>
        <w:t xml:space="preserve">ядку денного (Додаток 3) та під </w:t>
      </w:r>
      <w:r w:rsidRPr="00ED420A">
        <w:rPr>
          <w:rFonts w:ascii="Arial" w:hAnsi="Arial" w:cs="Arial"/>
          <w:color w:val="000000"/>
          <w:lang w:val="uk-UA"/>
        </w:rPr>
        <w:t>головуванням компет</w:t>
      </w:r>
      <w:r w:rsidR="000C6DAF">
        <w:rPr>
          <w:rFonts w:ascii="Arial" w:hAnsi="Arial" w:cs="Arial"/>
          <w:color w:val="000000"/>
          <w:lang w:val="uk-UA"/>
        </w:rPr>
        <w:t>ентного клінічного епідеміолога/</w:t>
      </w:r>
      <w:r w:rsidRPr="00ED420A">
        <w:rPr>
          <w:rFonts w:ascii="Arial" w:hAnsi="Arial" w:cs="Arial"/>
          <w:color w:val="000000"/>
          <w:lang w:val="uk-UA"/>
        </w:rPr>
        <w:t xml:space="preserve">методиста зі значним практичним досвідом  </w:t>
      </w:r>
      <w:r w:rsidR="00AF7479">
        <w:rPr>
          <w:rFonts w:ascii="Arial" w:hAnsi="Arial" w:cs="Arial"/>
          <w:color w:val="000000"/>
          <w:lang w:val="uk-UA"/>
        </w:rPr>
        <w:t xml:space="preserve">роботи </w:t>
      </w:r>
      <w:r w:rsidRPr="00ED420A">
        <w:rPr>
          <w:rFonts w:ascii="Arial" w:hAnsi="Arial" w:cs="Arial"/>
          <w:color w:val="000000"/>
          <w:lang w:val="uk-UA"/>
        </w:rPr>
        <w:t xml:space="preserve">з питань узагальнення </w:t>
      </w:r>
      <w:r w:rsidR="00AF7479">
        <w:rPr>
          <w:rFonts w:ascii="Arial" w:hAnsi="Arial" w:cs="Arial"/>
          <w:color w:val="000000"/>
          <w:lang w:val="uk-UA"/>
        </w:rPr>
        <w:t>результатів</w:t>
      </w:r>
      <w:r w:rsidRPr="00ED420A">
        <w:rPr>
          <w:rFonts w:ascii="Arial" w:hAnsi="Arial" w:cs="Arial"/>
          <w:color w:val="000000"/>
          <w:lang w:val="uk-UA"/>
        </w:rPr>
        <w:t xml:space="preserve"> та розробки рекомендацій.</w:t>
      </w:r>
    </w:p>
    <w:p w14:paraId="3131E84B" w14:textId="77777777" w:rsidR="00A84835" w:rsidRPr="00713994" w:rsidRDefault="00A84835" w:rsidP="0037724F">
      <w:pPr>
        <w:autoSpaceDE w:val="0"/>
        <w:autoSpaceDN w:val="0"/>
        <w:adjustRightInd w:val="0"/>
        <w:spacing w:after="0" w:line="240" w:lineRule="auto"/>
        <w:jc w:val="both"/>
        <w:rPr>
          <w:rFonts w:ascii="Arial" w:hAnsi="Arial" w:cs="Arial"/>
          <w:color w:val="000000"/>
        </w:rPr>
      </w:pPr>
    </w:p>
    <w:p w14:paraId="62A94AB4" w14:textId="4AFD42F3" w:rsidR="00E568A1" w:rsidRPr="00F1356E" w:rsidRDefault="00E568A1" w:rsidP="0037724F">
      <w:pPr>
        <w:autoSpaceDE w:val="0"/>
        <w:autoSpaceDN w:val="0"/>
        <w:adjustRightInd w:val="0"/>
        <w:spacing w:after="0" w:line="240" w:lineRule="auto"/>
        <w:jc w:val="both"/>
        <w:rPr>
          <w:rFonts w:ascii="Arial" w:hAnsi="Arial" w:cs="Arial"/>
          <w:color w:val="000000"/>
          <w:lang w:val="uk-UA"/>
        </w:rPr>
      </w:pPr>
      <w:r w:rsidRPr="00713994">
        <w:rPr>
          <w:rFonts w:ascii="Arial" w:hAnsi="Arial" w:cs="Arial"/>
          <w:color w:val="000000"/>
        </w:rPr>
        <w:t>Загаль</w:t>
      </w:r>
      <w:r w:rsidR="00AF7479" w:rsidRPr="00713994">
        <w:rPr>
          <w:rFonts w:ascii="Arial" w:hAnsi="Arial" w:cs="Arial"/>
          <w:color w:val="000000"/>
        </w:rPr>
        <w:t>на мета зустрічі ЕГ полягала в</w:t>
      </w:r>
      <w:r w:rsidRPr="00713994">
        <w:rPr>
          <w:rFonts w:ascii="Arial" w:hAnsi="Arial" w:cs="Arial"/>
          <w:color w:val="000000"/>
        </w:rPr>
        <w:t xml:space="preserve"> тому, щоб оцінити додаткову користь бедаквіліну для лікування мультирезистентного ТБ та, у разі необхідності</w:t>
      </w:r>
      <w:r w:rsidRPr="00F1356E">
        <w:rPr>
          <w:rFonts w:ascii="Arial" w:hAnsi="Arial" w:cs="Arial"/>
          <w:color w:val="000000"/>
        </w:rPr>
        <w:t>, надати ВООЗ рекомендації щодо тимчасового керівництва</w:t>
      </w:r>
      <w:r w:rsidR="000C6DAF" w:rsidRPr="00F1356E">
        <w:rPr>
          <w:rFonts w:ascii="Arial" w:hAnsi="Arial" w:cs="Arial"/>
          <w:color w:val="000000"/>
        </w:rPr>
        <w:t xml:space="preserve">, </w:t>
      </w:r>
      <w:r w:rsidR="00AF7479" w:rsidRPr="00F1356E">
        <w:rPr>
          <w:rFonts w:ascii="Arial" w:hAnsi="Arial" w:cs="Arial"/>
          <w:color w:val="000000"/>
          <w:lang w:val="uk-UA"/>
        </w:rPr>
        <w:t>щодо</w:t>
      </w:r>
      <w:r w:rsidR="00F1356E" w:rsidRPr="00F1356E">
        <w:rPr>
          <w:rFonts w:ascii="Arial" w:hAnsi="Arial" w:cs="Arial"/>
          <w:color w:val="000000"/>
        </w:rPr>
        <w:t xml:space="preserve"> </w:t>
      </w:r>
      <w:r w:rsidR="007D3500" w:rsidRPr="00F1356E">
        <w:rPr>
          <w:rFonts w:ascii="Arial" w:hAnsi="Arial" w:cs="Arial"/>
          <w:color w:val="000000"/>
        </w:rPr>
        <w:t>застосування</w:t>
      </w:r>
      <w:r w:rsidRPr="00F1356E">
        <w:rPr>
          <w:rFonts w:ascii="Arial" w:hAnsi="Arial" w:cs="Arial"/>
          <w:color w:val="000000"/>
        </w:rPr>
        <w:t xml:space="preserve"> </w:t>
      </w:r>
      <w:r w:rsidR="00F1356E" w:rsidRPr="00F1356E">
        <w:rPr>
          <w:rFonts w:ascii="Arial" w:hAnsi="Arial" w:cs="Arial"/>
          <w:color w:val="000000"/>
        </w:rPr>
        <w:t xml:space="preserve">бедаквіліну </w:t>
      </w:r>
      <w:r w:rsidRPr="00F1356E">
        <w:rPr>
          <w:rFonts w:ascii="Arial" w:hAnsi="Arial" w:cs="Arial"/>
          <w:color w:val="000000"/>
        </w:rPr>
        <w:t xml:space="preserve">у поєднанні з іншими препаратами </w:t>
      </w:r>
      <w:r w:rsidR="00F0605F" w:rsidRPr="00F1356E">
        <w:rPr>
          <w:rFonts w:ascii="Arial" w:hAnsi="Arial" w:cs="Arial"/>
          <w:color w:val="000000"/>
        </w:rPr>
        <w:t>другого ряду</w:t>
      </w:r>
      <w:r w:rsidRPr="00F1356E">
        <w:rPr>
          <w:rFonts w:ascii="Arial" w:hAnsi="Arial" w:cs="Arial"/>
          <w:color w:val="000000"/>
        </w:rPr>
        <w:t>, які застосовуються п</w:t>
      </w:r>
      <w:r w:rsidR="000C6DAF" w:rsidRPr="00F1356E">
        <w:rPr>
          <w:rFonts w:ascii="Arial" w:hAnsi="Arial" w:cs="Arial"/>
          <w:color w:val="000000"/>
        </w:rPr>
        <w:t>ри лікуванні МР</w:t>
      </w:r>
      <w:r w:rsidRPr="00F1356E">
        <w:rPr>
          <w:rFonts w:ascii="Arial" w:hAnsi="Arial" w:cs="Arial"/>
          <w:color w:val="000000"/>
        </w:rPr>
        <w:t xml:space="preserve"> ТБ</w:t>
      </w:r>
      <w:r w:rsidR="00F1356E" w:rsidRPr="00F1356E">
        <w:rPr>
          <w:rFonts w:ascii="Arial" w:hAnsi="Arial" w:cs="Arial"/>
          <w:color w:val="000000"/>
        </w:rPr>
        <w:t xml:space="preserve"> в різних країнах</w:t>
      </w:r>
      <w:r w:rsidRPr="00F1356E">
        <w:rPr>
          <w:rFonts w:ascii="Arial" w:hAnsi="Arial" w:cs="Arial"/>
          <w:color w:val="000000"/>
        </w:rPr>
        <w:t>.</w:t>
      </w:r>
    </w:p>
    <w:p w14:paraId="13A3C3D8" w14:textId="77777777" w:rsidR="00E568A1" w:rsidRPr="00F1356E" w:rsidRDefault="00E568A1" w:rsidP="0037724F">
      <w:pPr>
        <w:autoSpaceDE w:val="0"/>
        <w:autoSpaceDN w:val="0"/>
        <w:adjustRightInd w:val="0"/>
        <w:spacing w:after="0" w:line="240" w:lineRule="auto"/>
        <w:jc w:val="both"/>
        <w:rPr>
          <w:rFonts w:ascii="Arial" w:hAnsi="Arial" w:cs="Arial"/>
          <w:color w:val="000000"/>
          <w:lang w:val="uk-UA"/>
        </w:rPr>
      </w:pPr>
    </w:p>
    <w:p w14:paraId="0C9CF0E4"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F1356E">
        <w:rPr>
          <w:rFonts w:ascii="Arial" w:hAnsi="Arial" w:cs="Arial"/>
          <w:color w:val="000000"/>
          <w:lang w:val="uk-UA"/>
        </w:rPr>
        <w:t>Конкретними цілями були:</w:t>
      </w:r>
    </w:p>
    <w:p w14:paraId="7BD20FE0" w14:textId="77777777" w:rsidR="00A84835" w:rsidRDefault="00A84835" w:rsidP="0037724F">
      <w:pPr>
        <w:autoSpaceDE w:val="0"/>
        <w:autoSpaceDN w:val="0"/>
        <w:adjustRightInd w:val="0"/>
        <w:spacing w:after="0" w:line="240" w:lineRule="auto"/>
        <w:jc w:val="both"/>
        <w:rPr>
          <w:rFonts w:ascii="Arial" w:hAnsi="Arial" w:cs="Arial"/>
          <w:color w:val="000000"/>
          <w:lang w:val="uk-UA"/>
        </w:rPr>
      </w:pPr>
    </w:p>
    <w:p w14:paraId="44B7F54B" w14:textId="2EBC540D" w:rsidR="00E568A1" w:rsidRDefault="00E568A1" w:rsidP="0037724F">
      <w:pPr>
        <w:autoSpaceDE w:val="0"/>
        <w:autoSpaceDN w:val="0"/>
        <w:adjustRightInd w:val="0"/>
        <w:spacing w:after="0" w:line="240" w:lineRule="auto"/>
        <w:jc w:val="both"/>
        <w:rPr>
          <w:rFonts w:ascii="Arial" w:hAnsi="Arial" w:cs="Arial"/>
          <w:color w:val="000000"/>
          <w:lang w:val="uk-UA"/>
        </w:rPr>
      </w:pPr>
      <w:r w:rsidRPr="00592039">
        <w:rPr>
          <w:rFonts w:ascii="Arial" w:hAnsi="Arial" w:cs="Arial"/>
          <w:color w:val="000000"/>
          <w:lang w:val="uk-UA"/>
        </w:rPr>
        <w:t>1. Оцінити ефективність і безпечність бідаквіліну на додаток до нині існуючих, ре</w:t>
      </w:r>
      <w:r w:rsidR="00A84835">
        <w:rPr>
          <w:rFonts w:ascii="Arial" w:hAnsi="Arial" w:cs="Arial"/>
          <w:color w:val="000000"/>
          <w:lang w:val="uk-UA"/>
        </w:rPr>
        <w:t xml:space="preserve">комендованих ВООЗ, схем </w:t>
      </w:r>
      <w:r w:rsidR="009B51D9">
        <w:rPr>
          <w:rFonts w:ascii="Arial" w:hAnsi="Arial" w:cs="Arial"/>
          <w:color w:val="000000"/>
          <w:lang w:val="uk-UA"/>
        </w:rPr>
        <w:t>МР ТБ</w:t>
      </w:r>
      <w:r w:rsidRPr="00592039">
        <w:rPr>
          <w:rFonts w:ascii="Arial" w:hAnsi="Arial" w:cs="Arial"/>
          <w:color w:val="000000"/>
          <w:lang w:val="uk-UA"/>
        </w:rPr>
        <w:t xml:space="preserve"> терапії.</w:t>
      </w:r>
    </w:p>
    <w:p w14:paraId="604A0DE5" w14:textId="6798B46D" w:rsidR="00E568A1" w:rsidRDefault="000C6DAF"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2. Оцінити баланс шкода/користь</w:t>
      </w:r>
      <w:r w:rsidR="00E568A1" w:rsidRPr="00592039">
        <w:rPr>
          <w:rFonts w:ascii="Arial" w:hAnsi="Arial" w:cs="Arial"/>
          <w:color w:val="000000"/>
          <w:lang w:val="uk-UA"/>
        </w:rPr>
        <w:t>,</w:t>
      </w:r>
      <w:r>
        <w:rPr>
          <w:rFonts w:ascii="Arial" w:hAnsi="Arial" w:cs="Arial"/>
          <w:color w:val="000000"/>
          <w:lang w:val="uk-UA"/>
        </w:rPr>
        <w:t xml:space="preserve"> його потенційну</w:t>
      </w:r>
      <w:r w:rsidR="00E568A1" w:rsidRPr="00592039">
        <w:rPr>
          <w:rFonts w:ascii="Arial" w:hAnsi="Arial" w:cs="Arial"/>
          <w:color w:val="000000"/>
          <w:lang w:val="uk-UA"/>
        </w:rPr>
        <w:t xml:space="preserve"> екон</w:t>
      </w:r>
      <w:r>
        <w:rPr>
          <w:rFonts w:ascii="Arial" w:hAnsi="Arial" w:cs="Arial"/>
          <w:color w:val="000000"/>
          <w:lang w:val="uk-UA"/>
        </w:rPr>
        <w:t>омічну ефективність</w:t>
      </w:r>
      <w:r w:rsidR="00F1356E">
        <w:rPr>
          <w:rFonts w:ascii="Arial" w:hAnsi="Arial" w:cs="Arial"/>
          <w:color w:val="000000"/>
          <w:lang w:val="uk-UA"/>
        </w:rPr>
        <w:t>, сприйняття</w:t>
      </w:r>
      <w:r w:rsidR="00E568A1" w:rsidRPr="00592039">
        <w:rPr>
          <w:rFonts w:ascii="Arial" w:hAnsi="Arial" w:cs="Arial"/>
          <w:color w:val="000000"/>
          <w:lang w:val="uk-UA"/>
        </w:rPr>
        <w:t xml:space="preserve"> та побоюваннями пацієнтів та постачальників, а також можливості </w:t>
      </w:r>
      <w:r w:rsidR="00A84835">
        <w:rPr>
          <w:rFonts w:ascii="Arial" w:hAnsi="Arial" w:cs="Arial"/>
          <w:color w:val="000000"/>
          <w:lang w:val="uk-UA"/>
        </w:rPr>
        <w:t>включення</w:t>
      </w:r>
      <w:r w:rsidR="00E568A1" w:rsidRPr="00592039">
        <w:rPr>
          <w:rFonts w:ascii="Arial" w:hAnsi="Arial" w:cs="Arial"/>
          <w:color w:val="000000"/>
          <w:lang w:val="uk-UA"/>
        </w:rPr>
        <w:t xml:space="preserve"> препарату до програм </w:t>
      </w:r>
      <w:r w:rsidR="009B51D9">
        <w:rPr>
          <w:rFonts w:ascii="Arial" w:hAnsi="Arial" w:cs="Arial"/>
          <w:color w:val="000000"/>
          <w:lang w:val="uk-UA"/>
        </w:rPr>
        <w:t>МР ТБ</w:t>
      </w:r>
      <w:r w:rsidR="00E568A1" w:rsidRPr="00592039">
        <w:rPr>
          <w:rFonts w:ascii="Arial" w:hAnsi="Arial" w:cs="Arial"/>
          <w:color w:val="000000"/>
          <w:lang w:val="uk-UA"/>
        </w:rPr>
        <w:t>.</w:t>
      </w:r>
    </w:p>
    <w:p w14:paraId="1403E741" w14:textId="1525B98D" w:rsidR="00E568A1" w:rsidRDefault="00E568A1" w:rsidP="0037724F">
      <w:pPr>
        <w:autoSpaceDE w:val="0"/>
        <w:autoSpaceDN w:val="0"/>
        <w:adjustRightInd w:val="0"/>
        <w:spacing w:after="0" w:line="240" w:lineRule="auto"/>
        <w:jc w:val="both"/>
        <w:rPr>
          <w:rFonts w:ascii="Arial" w:hAnsi="Arial" w:cs="Arial"/>
          <w:color w:val="000000"/>
          <w:lang w:val="uk-UA"/>
        </w:rPr>
      </w:pPr>
      <w:r w:rsidRPr="00A84835">
        <w:rPr>
          <w:rFonts w:ascii="Arial" w:hAnsi="Arial" w:cs="Arial"/>
          <w:color w:val="000000"/>
          <w:lang w:val="uk-UA"/>
        </w:rPr>
        <w:t xml:space="preserve">3. Забезпечити, у разі необхідності, надання рекомендацій щодо </w:t>
      </w:r>
      <w:r w:rsidR="007D3500">
        <w:rPr>
          <w:rFonts w:ascii="Arial" w:hAnsi="Arial" w:cs="Arial"/>
          <w:color w:val="000000"/>
          <w:lang w:val="uk-UA"/>
        </w:rPr>
        <w:t>застосування</w:t>
      </w:r>
      <w:r w:rsidRPr="00A84835">
        <w:rPr>
          <w:rFonts w:ascii="Arial" w:hAnsi="Arial" w:cs="Arial"/>
          <w:color w:val="000000"/>
          <w:lang w:val="uk-UA"/>
        </w:rPr>
        <w:t xml:space="preserve"> препарату в рамках рекомендованих ВООЗ режимів лікува</w:t>
      </w:r>
      <w:r w:rsidR="00A84835" w:rsidRPr="00A84835">
        <w:rPr>
          <w:rFonts w:ascii="Arial" w:hAnsi="Arial" w:cs="Arial"/>
          <w:color w:val="000000"/>
          <w:lang w:val="uk-UA"/>
        </w:rPr>
        <w:t xml:space="preserve">ння </w:t>
      </w:r>
      <w:r w:rsidR="009B51D9">
        <w:rPr>
          <w:rFonts w:ascii="Arial" w:hAnsi="Arial" w:cs="Arial"/>
          <w:color w:val="000000"/>
          <w:lang w:val="uk-UA"/>
        </w:rPr>
        <w:t>МР ТБ</w:t>
      </w:r>
      <w:r w:rsidR="00A84835" w:rsidRPr="00A84835">
        <w:rPr>
          <w:rFonts w:ascii="Arial" w:hAnsi="Arial" w:cs="Arial"/>
          <w:color w:val="000000"/>
          <w:lang w:val="uk-UA"/>
        </w:rPr>
        <w:t xml:space="preserve">, приділивши увагу </w:t>
      </w:r>
      <w:r w:rsidRPr="00A84835">
        <w:rPr>
          <w:rFonts w:ascii="Arial" w:hAnsi="Arial" w:cs="Arial"/>
          <w:color w:val="000000"/>
          <w:lang w:val="uk-UA"/>
        </w:rPr>
        <w:t>проблем</w:t>
      </w:r>
      <w:r w:rsidR="00A84835">
        <w:rPr>
          <w:rFonts w:ascii="Arial" w:hAnsi="Arial" w:cs="Arial"/>
          <w:color w:val="000000"/>
          <w:lang w:val="uk-UA"/>
        </w:rPr>
        <w:t>ам/ обмеженням</w:t>
      </w:r>
      <w:r w:rsidRPr="00A84835">
        <w:rPr>
          <w:rFonts w:ascii="Arial" w:hAnsi="Arial" w:cs="Arial"/>
          <w:color w:val="000000"/>
          <w:lang w:val="uk-UA"/>
        </w:rPr>
        <w:t xml:space="preserve">, що мають відношення до застосування нового препарату, </w:t>
      </w:r>
      <w:r w:rsidR="00A84835">
        <w:rPr>
          <w:rFonts w:ascii="Arial" w:hAnsi="Arial" w:cs="Arial"/>
          <w:color w:val="000000"/>
          <w:lang w:val="uk-UA"/>
        </w:rPr>
        <w:t>щодо</w:t>
      </w:r>
      <w:r w:rsidRPr="00A84835">
        <w:rPr>
          <w:rFonts w:ascii="Arial" w:hAnsi="Arial" w:cs="Arial"/>
          <w:color w:val="000000"/>
          <w:lang w:val="uk-UA"/>
        </w:rPr>
        <w:t xml:space="preserve"> якого</w:t>
      </w:r>
      <w:r w:rsidR="000C6DAF">
        <w:rPr>
          <w:rFonts w:ascii="Arial" w:hAnsi="Arial" w:cs="Arial"/>
          <w:color w:val="000000"/>
          <w:lang w:val="uk-UA"/>
        </w:rPr>
        <w:t>,</w:t>
      </w:r>
      <w:r w:rsidRPr="00A84835">
        <w:rPr>
          <w:rFonts w:ascii="Arial" w:hAnsi="Arial" w:cs="Arial"/>
          <w:color w:val="000000"/>
          <w:lang w:val="uk-UA"/>
        </w:rPr>
        <w:t xml:space="preserve"> </w:t>
      </w:r>
      <w:r w:rsidR="000C6DAF" w:rsidRPr="00A84835">
        <w:rPr>
          <w:rFonts w:ascii="Arial" w:hAnsi="Arial" w:cs="Arial"/>
          <w:color w:val="000000"/>
          <w:lang w:val="uk-UA"/>
        </w:rPr>
        <w:t>на даний час</w:t>
      </w:r>
      <w:r w:rsidR="000C6DAF">
        <w:rPr>
          <w:rFonts w:ascii="Arial" w:hAnsi="Arial" w:cs="Arial"/>
          <w:color w:val="000000"/>
          <w:lang w:val="uk-UA"/>
        </w:rPr>
        <w:t>,</w:t>
      </w:r>
      <w:r w:rsidR="000C6DAF" w:rsidRPr="00A84835">
        <w:rPr>
          <w:rFonts w:ascii="Arial" w:hAnsi="Arial" w:cs="Arial"/>
          <w:color w:val="000000"/>
          <w:lang w:val="uk-UA"/>
        </w:rPr>
        <w:t xml:space="preserve"> </w:t>
      </w:r>
      <w:r w:rsidRPr="00A84835">
        <w:rPr>
          <w:rFonts w:ascii="Arial" w:hAnsi="Arial" w:cs="Arial"/>
          <w:color w:val="000000"/>
          <w:lang w:val="uk-UA"/>
        </w:rPr>
        <w:t xml:space="preserve">відсутні дані про клінічні випробування Фази </w:t>
      </w:r>
      <w:r w:rsidRPr="00063EE4">
        <w:rPr>
          <w:rFonts w:ascii="Arial" w:hAnsi="Arial" w:cs="Arial"/>
          <w:color w:val="000000"/>
          <w:lang w:val="en-GB"/>
        </w:rPr>
        <w:t>III</w:t>
      </w:r>
      <w:r w:rsidRPr="00A84835">
        <w:rPr>
          <w:rFonts w:ascii="Arial" w:hAnsi="Arial" w:cs="Arial"/>
          <w:color w:val="000000"/>
          <w:lang w:val="uk-UA"/>
        </w:rPr>
        <w:t>.</w:t>
      </w:r>
    </w:p>
    <w:p w14:paraId="4A08A131" w14:textId="77777777" w:rsidR="0011456E" w:rsidRDefault="0011456E" w:rsidP="009B51D9">
      <w:pPr>
        <w:autoSpaceDE w:val="0"/>
        <w:autoSpaceDN w:val="0"/>
        <w:adjustRightInd w:val="0"/>
        <w:spacing w:after="0" w:line="240" w:lineRule="auto"/>
        <w:jc w:val="both"/>
        <w:outlineLvl w:val="0"/>
        <w:rPr>
          <w:rFonts w:ascii="Arial" w:hAnsi="Arial" w:cs="Arial"/>
          <w:b/>
          <w:bCs/>
          <w:color w:val="000000"/>
          <w:sz w:val="28"/>
          <w:szCs w:val="28"/>
        </w:rPr>
      </w:pPr>
    </w:p>
    <w:p w14:paraId="74CB7304" w14:textId="7C3C544B" w:rsidR="00E568A1" w:rsidRPr="0011456E"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11456E">
        <w:rPr>
          <w:rFonts w:ascii="Arial" w:hAnsi="Arial" w:cs="Arial"/>
          <w:b/>
          <w:bCs/>
          <w:color w:val="6A2041"/>
          <w:sz w:val="28"/>
          <w:szCs w:val="28"/>
        </w:rPr>
        <w:lastRenderedPageBreak/>
        <w:t xml:space="preserve">3.2 </w:t>
      </w:r>
      <w:r w:rsidR="0011456E" w:rsidRPr="0011456E">
        <w:rPr>
          <w:rFonts w:ascii="Arial" w:hAnsi="Arial" w:cs="Arial"/>
          <w:b/>
          <w:bCs/>
          <w:color w:val="6A2041"/>
          <w:sz w:val="28"/>
          <w:szCs w:val="28"/>
          <w:lang w:val="uk-UA"/>
        </w:rPr>
        <w:t>Врегулювання конфліктів</w:t>
      </w:r>
      <w:r w:rsidRPr="0011456E">
        <w:rPr>
          <w:rFonts w:ascii="Arial" w:hAnsi="Arial" w:cs="Arial"/>
          <w:b/>
          <w:bCs/>
          <w:color w:val="6A2041"/>
          <w:sz w:val="28"/>
          <w:szCs w:val="28"/>
          <w:lang w:val="uk-UA"/>
        </w:rPr>
        <w:t xml:space="preserve"> інтересів</w:t>
      </w:r>
    </w:p>
    <w:p w14:paraId="3C084874" w14:textId="77777777" w:rsidR="00E568A1" w:rsidRPr="009C5BFF" w:rsidRDefault="00E568A1" w:rsidP="0037724F">
      <w:pPr>
        <w:autoSpaceDE w:val="0"/>
        <w:autoSpaceDN w:val="0"/>
        <w:adjustRightInd w:val="0"/>
        <w:spacing w:after="0" w:line="240" w:lineRule="auto"/>
        <w:jc w:val="both"/>
        <w:rPr>
          <w:rFonts w:ascii="Arial" w:hAnsi="Arial" w:cs="Arial"/>
          <w:color w:val="000000"/>
          <w:sz w:val="24"/>
          <w:szCs w:val="24"/>
        </w:rPr>
      </w:pPr>
    </w:p>
    <w:p w14:paraId="24D0687A" w14:textId="5E71486E" w:rsidR="00E568A1" w:rsidRPr="00137350" w:rsidRDefault="00E568A1" w:rsidP="0037724F">
      <w:pPr>
        <w:autoSpaceDE w:val="0"/>
        <w:autoSpaceDN w:val="0"/>
        <w:adjustRightInd w:val="0"/>
        <w:spacing w:after="0" w:line="240" w:lineRule="auto"/>
        <w:jc w:val="both"/>
        <w:rPr>
          <w:rFonts w:ascii="Arial" w:hAnsi="Arial" w:cs="Arial"/>
          <w:color w:val="000000"/>
          <w:lang w:val="uk-UA"/>
        </w:rPr>
      </w:pPr>
      <w:r w:rsidRPr="00BE4B24">
        <w:rPr>
          <w:rFonts w:ascii="Arial" w:hAnsi="Arial" w:cs="Arial"/>
          <w:color w:val="000000"/>
          <w:lang w:val="uk-UA"/>
        </w:rPr>
        <w:t>Політика ВООЗ щодо конфлікту інтересів була розроблена та застосована в процесі консультації з Юридичним департаментом ВООЗ. Кожному члену ЕГ було запропоновано заповнити форму Дек</w:t>
      </w:r>
      <w:r w:rsidR="000C6DAF">
        <w:rPr>
          <w:rFonts w:ascii="Arial" w:hAnsi="Arial" w:cs="Arial"/>
          <w:color w:val="000000"/>
          <w:lang w:val="uk-UA"/>
        </w:rPr>
        <w:t xml:space="preserve">ларації про зацікавленість </w:t>
      </w:r>
      <w:r w:rsidRPr="00BE4B24">
        <w:rPr>
          <w:rFonts w:ascii="Arial" w:hAnsi="Arial" w:cs="Arial"/>
          <w:color w:val="000000"/>
          <w:lang w:val="uk-UA"/>
        </w:rPr>
        <w:t xml:space="preserve">до того, як було підтверджено їх запрошення, та передбачено, </w:t>
      </w:r>
      <w:r w:rsidR="009C5BFF">
        <w:rPr>
          <w:rFonts w:ascii="Arial" w:hAnsi="Arial" w:cs="Arial"/>
          <w:color w:val="000000"/>
          <w:lang w:val="uk-UA"/>
        </w:rPr>
        <w:t xml:space="preserve"> що </w:t>
      </w:r>
      <w:r w:rsidRPr="00BE4B24">
        <w:rPr>
          <w:rFonts w:ascii="Arial" w:hAnsi="Arial" w:cs="Arial"/>
          <w:color w:val="000000"/>
          <w:lang w:val="uk-UA"/>
        </w:rPr>
        <w:t xml:space="preserve">призначені для спільного </w:t>
      </w:r>
      <w:r w:rsidR="007D3500">
        <w:rPr>
          <w:rFonts w:ascii="Arial" w:hAnsi="Arial" w:cs="Arial"/>
          <w:color w:val="000000"/>
          <w:lang w:val="uk-UA"/>
        </w:rPr>
        <w:t>застосування</w:t>
      </w:r>
      <w:r w:rsidRPr="00BE4B24">
        <w:rPr>
          <w:rFonts w:ascii="Arial" w:hAnsi="Arial" w:cs="Arial"/>
          <w:color w:val="000000"/>
          <w:lang w:val="uk-UA"/>
        </w:rPr>
        <w:t xml:space="preserve"> членами ЕГ </w:t>
      </w:r>
      <w:r w:rsidR="00F1356E">
        <w:rPr>
          <w:rFonts w:ascii="Arial" w:hAnsi="Arial" w:cs="Arial"/>
          <w:color w:val="000000"/>
          <w:lang w:val="uk-UA"/>
        </w:rPr>
        <w:t xml:space="preserve">дані будуть використовуватися </w:t>
      </w:r>
      <w:r w:rsidRPr="00BE4B24">
        <w:rPr>
          <w:rFonts w:ascii="Arial" w:hAnsi="Arial" w:cs="Arial"/>
          <w:color w:val="000000"/>
          <w:lang w:val="uk-UA"/>
        </w:rPr>
        <w:t>в рамках угод</w:t>
      </w:r>
      <w:r w:rsidR="00F1356E">
        <w:rPr>
          <w:rFonts w:ascii="Arial" w:hAnsi="Arial" w:cs="Arial"/>
          <w:color w:val="000000"/>
          <w:lang w:val="uk-UA"/>
        </w:rPr>
        <w:t>и</w:t>
      </w:r>
      <w:r w:rsidRPr="00BE4B24">
        <w:rPr>
          <w:rFonts w:ascii="Arial" w:hAnsi="Arial" w:cs="Arial"/>
          <w:color w:val="000000"/>
          <w:lang w:val="uk-UA"/>
        </w:rPr>
        <w:t xml:space="preserve"> про </w:t>
      </w:r>
      <w:r w:rsidRPr="00763740">
        <w:rPr>
          <w:rFonts w:ascii="Arial" w:hAnsi="Arial" w:cs="Arial"/>
          <w:color w:val="000000"/>
          <w:lang w:val="uk-UA"/>
        </w:rPr>
        <w:t>конфіденційність.</w:t>
      </w:r>
      <w:r>
        <w:rPr>
          <w:rFonts w:ascii="Arial" w:hAnsi="Arial" w:cs="Arial"/>
          <w:color w:val="000000"/>
          <w:lang w:val="uk-UA"/>
        </w:rPr>
        <w:t xml:space="preserve"> </w:t>
      </w:r>
      <w:r w:rsidRPr="00BE4B24">
        <w:rPr>
          <w:rFonts w:ascii="Arial" w:hAnsi="Arial" w:cs="Arial"/>
          <w:color w:val="000000"/>
          <w:lang w:val="uk-UA"/>
        </w:rPr>
        <w:t xml:space="preserve">Усі заповнені форми були переглянуті Керівною групою з </w:t>
      </w:r>
      <w:r w:rsidR="008B6535">
        <w:rPr>
          <w:rFonts w:ascii="Arial" w:hAnsi="Arial" w:cs="Arial"/>
          <w:color w:val="000000"/>
          <w:lang w:val="uk-UA"/>
        </w:rPr>
        <w:t xml:space="preserve">розробки рекомендацій спільно з </w:t>
      </w:r>
      <w:r w:rsidRPr="00BE4B24">
        <w:rPr>
          <w:rFonts w:ascii="Arial" w:hAnsi="Arial" w:cs="Arial"/>
          <w:color w:val="000000"/>
          <w:lang w:val="uk-UA"/>
        </w:rPr>
        <w:t>Юридичним департаментом ВООЗ до початку засідання EГ. Особливу увагу було приділено потенційним конфліктам інтересів, пов'язаним</w:t>
      </w:r>
      <w:r w:rsidR="009C5BFF">
        <w:rPr>
          <w:rFonts w:ascii="Arial" w:hAnsi="Arial" w:cs="Arial"/>
          <w:color w:val="000000"/>
          <w:lang w:val="uk-UA"/>
        </w:rPr>
        <w:t>и</w:t>
      </w:r>
      <w:r w:rsidRPr="00BE4B24">
        <w:rPr>
          <w:rFonts w:ascii="Arial" w:hAnsi="Arial" w:cs="Arial"/>
          <w:color w:val="000000"/>
          <w:lang w:val="uk-UA"/>
        </w:rPr>
        <w:t xml:space="preserve"> із оцінкою </w:t>
      </w:r>
      <w:r w:rsidR="009C5BFF">
        <w:rPr>
          <w:rFonts w:ascii="Arial" w:hAnsi="Arial" w:cs="Arial"/>
          <w:color w:val="000000"/>
          <w:lang w:val="uk-UA"/>
        </w:rPr>
        <w:t>результатів</w:t>
      </w:r>
      <w:r w:rsidR="00763740">
        <w:rPr>
          <w:rFonts w:ascii="Arial" w:hAnsi="Arial" w:cs="Arial"/>
          <w:color w:val="000000"/>
          <w:lang w:val="uk-UA"/>
        </w:rPr>
        <w:t>, формулюванням рекомендацій та процесом</w:t>
      </w:r>
      <w:r w:rsidRPr="00BE4B24">
        <w:rPr>
          <w:rFonts w:ascii="Arial" w:hAnsi="Arial" w:cs="Arial"/>
          <w:color w:val="000000"/>
          <w:lang w:val="uk-UA"/>
        </w:rPr>
        <w:t xml:space="preserve"> зовнішньої колегіальної перевірки.</w:t>
      </w:r>
      <w:r>
        <w:rPr>
          <w:rFonts w:ascii="Arial" w:hAnsi="Arial" w:cs="Arial"/>
          <w:color w:val="000000"/>
          <w:lang w:val="uk-UA"/>
        </w:rPr>
        <w:t xml:space="preserve"> </w:t>
      </w:r>
      <w:r w:rsidRPr="00137350">
        <w:rPr>
          <w:rFonts w:ascii="Arial" w:hAnsi="Arial" w:cs="Arial"/>
          <w:color w:val="000000"/>
          <w:lang w:val="uk-UA"/>
        </w:rPr>
        <w:t xml:space="preserve">Особливу увагу було приділено також оцінці як фінансових, так й інтелектуальних інтересів. Крім того, не </w:t>
      </w:r>
      <w:r w:rsidR="009C5BFF">
        <w:rPr>
          <w:rFonts w:ascii="Arial" w:hAnsi="Arial" w:cs="Arial"/>
          <w:color w:val="000000"/>
          <w:lang w:val="uk-UA"/>
        </w:rPr>
        <w:t>розглядалося</w:t>
      </w:r>
      <w:r w:rsidRPr="00137350">
        <w:rPr>
          <w:rFonts w:ascii="Arial" w:hAnsi="Arial" w:cs="Arial"/>
          <w:color w:val="000000"/>
          <w:lang w:val="uk-UA"/>
        </w:rPr>
        <w:t xml:space="preserve"> питання </w:t>
      </w:r>
      <w:r w:rsidR="009C5BFF">
        <w:rPr>
          <w:rFonts w:ascii="Arial" w:hAnsi="Arial" w:cs="Arial"/>
          <w:color w:val="000000"/>
          <w:lang w:val="uk-UA"/>
        </w:rPr>
        <w:t>щодо</w:t>
      </w:r>
      <w:r w:rsidRPr="00137350">
        <w:rPr>
          <w:rFonts w:ascii="Arial" w:hAnsi="Arial" w:cs="Arial"/>
          <w:color w:val="000000"/>
          <w:lang w:val="uk-UA"/>
        </w:rPr>
        <w:t xml:space="preserve"> включення до складу ЕГ осіб, які були залучені до клінічних випробувань, проведен</w:t>
      </w:r>
      <w:r w:rsidR="000C6DAF">
        <w:rPr>
          <w:rFonts w:ascii="Arial" w:hAnsi="Arial" w:cs="Arial"/>
          <w:color w:val="000000"/>
          <w:lang w:val="uk-UA"/>
        </w:rPr>
        <w:t xml:space="preserve">их виробником бедаквіліну, або </w:t>
      </w:r>
      <w:r w:rsidR="00763740">
        <w:rPr>
          <w:rFonts w:ascii="Arial" w:hAnsi="Arial" w:cs="Arial"/>
          <w:color w:val="000000"/>
          <w:lang w:val="uk-UA"/>
        </w:rPr>
        <w:t xml:space="preserve">які </w:t>
      </w:r>
      <w:r w:rsidR="000C6DAF">
        <w:rPr>
          <w:rFonts w:ascii="Arial" w:hAnsi="Arial" w:cs="Arial"/>
          <w:color w:val="000000"/>
          <w:lang w:val="uk-UA"/>
        </w:rPr>
        <w:t xml:space="preserve">брали участь в роботі </w:t>
      </w:r>
      <w:r w:rsidRPr="00137350">
        <w:rPr>
          <w:rFonts w:ascii="Arial" w:hAnsi="Arial" w:cs="Arial"/>
          <w:color w:val="000000"/>
          <w:lang w:val="uk-UA"/>
        </w:rPr>
        <w:t>будь-яког</w:t>
      </w:r>
      <w:r w:rsidR="009C5BFF">
        <w:rPr>
          <w:rFonts w:ascii="Arial" w:hAnsi="Arial" w:cs="Arial"/>
          <w:color w:val="000000"/>
          <w:lang w:val="uk-UA"/>
        </w:rPr>
        <w:t>о органу чи комітету, пов'язаного</w:t>
      </w:r>
      <w:r w:rsidRPr="00137350">
        <w:rPr>
          <w:rFonts w:ascii="Arial" w:hAnsi="Arial" w:cs="Arial"/>
          <w:color w:val="000000"/>
          <w:lang w:val="uk-UA"/>
        </w:rPr>
        <w:t xml:space="preserve"> з проведенням будь-я</w:t>
      </w:r>
      <w:r w:rsidR="000C6DAF">
        <w:rPr>
          <w:rFonts w:ascii="Arial" w:hAnsi="Arial" w:cs="Arial"/>
          <w:color w:val="000000"/>
          <w:lang w:val="uk-UA"/>
        </w:rPr>
        <w:t>кого випробування</w:t>
      </w:r>
      <w:r w:rsidRPr="00137350">
        <w:rPr>
          <w:rFonts w:ascii="Arial" w:hAnsi="Arial" w:cs="Arial"/>
          <w:color w:val="000000"/>
          <w:lang w:val="uk-UA"/>
        </w:rPr>
        <w:t xml:space="preserve"> (наприклад, дослідницький комітет, комітет з моніторингу даних, науково-консультативна рада), навіть без отримання винагороди, а також осіб, які брали участь у розробці та тестуванні нового препарату або інших потенційно конкуруючих лікарських засобів.</w:t>
      </w:r>
    </w:p>
    <w:p w14:paraId="6A44DE18" w14:textId="77777777" w:rsidR="00E568A1" w:rsidRPr="00A60AE1" w:rsidRDefault="00E568A1" w:rsidP="0037724F">
      <w:pPr>
        <w:autoSpaceDE w:val="0"/>
        <w:autoSpaceDN w:val="0"/>
        <w:adjustRightInd w:val="0"/>
        <w:spacing w:after="0" w:line="240" w:lineRule="auto"/>
        <w:jc w:val="both"/>
        <w:rPr>
          <w:rFonts w:ascii="Arial" w:hAnsi="Arial" w:cs="Arial"/>
          <w:color w:val="FFFFFF"/>
        </w:rPr>
      </w:pPr>
      <w:r w:rsidRPr="00BE4B24">
        <w:rPr>
          <w:rFonts w:ascii="Arial" w:hAnsi="Arial" w:cs="Arial"/>
          <w:color w:val="FFFFFF"/>
        </w:rPr>
        <w:t>18</w:t>
      </w:r>
    </w:p>
    <w:p w14:paraId="6F092D63" w14:textId="3D8373D0" w:rsidR="00E568A1" w:rsidRDefault="00E568A1" w:rsidP="0037724F">
      <w:pPr>
        <w:autoSpaceDE w:val="0"/>
        <w:autoSpaceDN w:val="0"/>
        <w:adjustRightInd w:val="0"/>
        <w:spacing w:after="0" w:line="240" w:lineRule="auto"/>
        <w:jc w:val="both"/>
        <w:rPr>
          <w:rFonts w:ascii="Arial" w:hAnsi="Arial" w:cs="Arial"/>
          <w:color w:val="000000"/>
          <w:lang w:val="uk-UA"/>
        </w:rPr>
      </w:pPr>
      <w:r w:rsidRPr="00494B07">
        <w:rPr>
          <w:rFonts w:ascii="Arial" w:hAnsi="Arial" w:cs="Arial"/>
          <w:color w:val="000000"/>
        </w:rPr>
        <w:t>Відомості стосовно Декларацій про зацікавленість були узагальнені Секретаріатом Депар</w:t>
      </w:r>
      <w:r w:rsidR="002125A5">
        <w:rPr>
          <w:rFonts w:ascii="Arial" w:hAnsi="Arial" w:cs="Arial"/>
          <w:color w:val="000000"/>
        </w:rPr>
        <w:t xml:space="preserve">таменту ВООЗ "Стоп ТБ" </w:t>
      </w:r>
      <w:r w:rsidR="0071518C">
        <w:rPr>
          <w:rFonts w:ascii="Arial" w:hAnsi="Arial" w:cs="Arial"/>
          <w:color w:val="000000"/>
        </w:rPr>
        <w:t>на</w:t>
      </w:r>
      <w:r w:rsidR="00763740">
        <w:rPr>
          <w:rFonts w:ascii="Arial" w:hAnsi="Arial" w:cs="Arial"/>
          <w:color w:val="000000"/>
        </w:rPr>
        <w:t xml:space="preserve"> </w:t>
      </w:r>
      <w:r w:rsidRPr="00494B07">
        <w:rPr>
          <w:rFonts w:ascii="Arial" w:hAnsi="Arial" w:cs="Arial"/>
          <w:color w:val="000000"/>
        </w:rPr>
        <w:t xml:space="preserve">початку зустрічі. </w:t>
      </w:r>
      <w:r w:rsidRPr="00713994">
        <w:rPr>
          <w:rFonts w:ascii="Arial" w:hAnsi="Arial" w:cs="Arial"/>
          <w:color w:val="000000"/>
        </w:rPr>
        <w:t xml:space="preserve">Підсумок наведено в </w:t>
      </w:r>
      <w:r w:rsidRPr="00F4548C">
        <w:rPr>
          <w:rFonts w:ascii="Arial" w:hAnsi="Arial" w:cs="Arial"/>
          <w:color w:val="000000"/>
        </w:rPr>
        <w:t>Додатку 4.</w:t>
      </w:r>
    </w:p>
    <w:p w14:paraId="4E1F13AB" w14:textId="77777777" w:rsidR="00E568A1" w:rsidRPr="00494B07" w:rsidRDefault="00E568A1" w:rsidP="0037724F">
      <w:pPr>
        <w:autoSpaceDE w:val="0"/>
        <w:autoSpaceDN w:val="0"/>
        <w:adjustRightInd w:val="0"/>
        <w:spacing w:after="0" w:line="240" w:lineRule="auto"/>
        <w:jc w:val="both"/>
        <w:rPr>
          <w:rFonts w:ascii="Arial" w:hAnsi="Arial" w:cs="Arial"/>
          <w:color w:val="000000"/>
          <w:lang w:val="uk-UA"/>
        </w:rPr>
      </w:pPr>
    </w:p>
    <w:p w14:paraId="194265C2" w14:textId="3E737695" w:rsidR="00E568A1" w:rsidRPr="00EE7494" w:rsidRDefault="00F4548C"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Консультанти з забезпечення </w:t>
      </w:r>
      <w:r w:rsidR="00B63CA4">
        <w:rPr>
          <w:rFonts w:ascii="Arial" w:hAnsi="Arial" w:cs="Arial"/>
          <w:color w:val="000000"/>
          <w:lang w:val="uk-UA"/>
        </w:rPr>
        <w:t>технічних ресурсів взяли</w:t>
      </w:r>
      <w:r w:rsidR="00A41D55">
        <w:rPr>
          <w:rFonts w:ascii="Arial" w:hAnsi="Arial" w:cs="Arial"/>
          <w:color w:val="000000"/>
          <w:lang w:val="uk-UA"/>
        </w:rPr>
        <w:t xml:space="preserve"> участь у засіданні та надали</w:t>
      </w:r>
      <w:r w:rsidR="00B63CA4">
        <w:rPr>
          <w:rFonts w:ascii="Arial" w:hAnsi="Arial" w:cs="Arial"/>
          <w:color w:val="000000"/>
          <w:lang w:val="uk-UA"/>
        </w:rPr>
        <w:t xml:space="preserve"> конкретну інформацію щодо</w:t>
      </w:r>
      <w:r w:rsidR="00E568A1" w:rsidRPr="00212A85">
        <w:rPr>
          <w:rFonts w:ascii="Arial" w:hAnsi="Arial" w:cs="Arial"/>
          <w:color w:val="000000"/>
          <w:lang w:val="uk-UA"/>
        </w:rPr>
        <w:t xml:space="preserve"> </w:t>
      </w:r>
      <w:r w:rsidR="00B63CA4">
        <w:rPr>
          <w:rFonts w:ascii="Arial" w:hAnsi="Arial" w:cs="Arial"/>
          <w:color w:val="000000"/>
          <w:lang w:val="uk-UA"/>
        </w:rPr>
        <w:t>окремих технічних питань</w:t>
      </w:r>
      <w:r w:rsidR="00E568A1" w:rsidRPr="00212A85">
        <w:rPr>
          <w:rFonts w:ascii="Arial" w:hAnsi="Arial" w:cs="Arial"/>
          <w:color w:val="000000"/>
          <w:lang w:val="uk-UA"/>
        </w:rPr>
        <w:t>, але які не брали участі в про</w:t>
      </w:r>
      <w:r w:rsidR="00B63CA4">
        <w:rPr>
          <w:rFonts w:ascii="Arial" w:hAnsi="Arial" w:cs="Arial"/>
          <w:color w:val="000000"/>
          <w:lang w:val="uk-UA"/>
        </w:rPr>
        <w:t xml:space="preserve">цесі прийняття рішень чи розробці </w:t>
      </w:r>
      <w:r w:rsidR="00E568A1" w:rsidRPr="00212A85">
        <w:rPr>
          <w:rFonts w:ascii="Arial" w:hAnsi="Arial" w:cs="Arial"/>
          <w:color w:val="000000"/>
          <w:lang w:val="uk-UA"/>
        </w:rPr>
        <w:t>фактичних рекомендацій.</w:t>
      </w:r>
      <w:r w:rsidR="00E568A1">
        <w:rPr>
          <w:rFonts w:ascii="Arial" w:hAnsi="Arial" w:cs="Arial"/>
          <w:color w:val="000000"/>
          <w:lang w:val="uk-UA"/>
        </w:rPr>
        <w:t xml:space="preserve"> </w:t>
      </w:r>
      <w:r w:rsidR="00E568A1" w:rsidRPr="00EE7494">
        <w:rPr>
          <w:rFonts w:ascii="Arial" w:hAnsi="Arial" w:cs="Arial"/>
          <w:color w:val="000000"/>
          <w:lang w:val="uk-UA"/>
        </w:rPr>
        <w:t>Спостерігачі брали участь тільки на проха</w:t>
      </w:r>
      <w:r w:rsidR="0071518C">
        <w:rPr>
          <w:rFonts w:ascii="Arial" w:hAnsi="Arial" w:cs="Arial"/>
          <w:color w:val="000000"/>
          <w:lang w:val="uk-UA"/>
        </w:rPr>
        <w:t>ння Голови, проте не були залу</w:t>
      </w:r>
      <w:r w:rsidR="00E568A1" w:rsidRPr="00EE7494">
        <w:rPr>
          <w:rFonts w:ascii="Arial" w:hAnsi="Arial" w:cs="Arial"/>
          <w:color w:val="000000"/>
          <w:lang w:val="uk-UA"/>
        </w:rPr>
        <w:t xml:space="preserve">чені до </w:t>
      </w:r>
      <w:r w:rsidR="00B63CA4">
        <w:rPr>
          <w:rFonts w:ascii="Arial" w:hAnsi="Arial" w:cs="Arial"/>
          <w:color w:val="000000"/>
          <w:lang w:val="uk-UA"/>
        </w:rPr>
        <w:t xml:space="preserve">розробки </w:t>
      </w:r>
      <w:r w:rsidR="00E568A1" w:rsidRPr="00EE7494">
        <w:rPr>
          <w:rFonts w:ascii="Arial" w:hAnsi="Arial" w:cs="Arial"/>
          <w:color w:val="000000"/>
          <w:lang w:val="uk-UA"/>
        </w:rPr>
        <w:t>рекомендацій. Всі учасники підписали угоду про конфіденційність і їх було попереджено про необхідність дотримання конфіденційності до повного завершення процесу ВООЗом.</w:t>
      </w:r>
    </w:p>
    <w:p w14:paraId="63ACC506" w14:textId="77777777" w:rsidR="00006C1C" w:rsidRDefault="00006C1C" w:rsidP="0037724F">
      <w:pPr>
        <w:autoSpaceDE w:val="0"/>
        <w:autoSpaceDN w:val="0"/>
        <w:adjustRightInd w:val="0"/>
        <w:spacing w:after="0" w:line="240" w:lineRule="auto"/>
        <w:jc w:val="both"/>
        <w:rPr>
          <w:rFonts w:ascii="Arial" w:hAnsi="Arial" w:cs="Arial"/>
          <w:b/>
          <w:bCs/>
          <w:color w:val="000000"/>
          <w:sz w:val="28"/>
          <w:szCs w:val="28"/>
          <w:lang w:val="uk-UA"/>
        </w:rPr>
      </w:pPr>
    </w:p>
    <w:p w14:paraId="760F5D61" w14:textId="6C4D7CAD" w:rsidR="00E568A1" w:rsidRPr="000B20F2"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0B20F2">
        <w:rPr>
          <w:rFonts w:ascii="Arial" w:hAnsi="Arial" w:cs="Arial"/>
          <w:b/>
          <w:bCs/>
          <w:color w:val="6A2041"/>
          <w:sz w:val="28"/>
          <w:szCs w:val="28"/>
          <w:lang w:val="uk-UA"/>
        </w:rPr>
        <w:t>3.3</w:t>
      </w:r>
      <w:r w:rsidR="00B63CA4" w:rsidRPr="000B20F2">
        <w:rPr>
          <w:rFonts w:ascii="Arial" w:hAnsi="Arial" w:cs="Arial"/>
          <w:b/>
          <w:bCs/>
          <w:color w:val="6A2041"/>
          <w:sz w:val="28"/>
          <w:szCs w:val="28"/>
          <w:lang w:val="uk-UA"/>
        </w:rPr>
        <w:t>.</w:t>
      </w:r>
      <w:r w:rsidRPr="000B20F2">
        <w:rPr>
          <w:rFonts w:ascii="Arial" w:hAnsi="Arial" w:cs="Arial"/>
          <w:b/>
          <w:bCs/>
          <w:color w:val="6A2041"/>
          <w:sz w:val="28"/>
          <w:szCs w:val="28"/>
          <w:lang w:val="uk-UA"/>
        </w:rPr>
        <w:t xml:space="preserve"> </w:t>
      </w:r>
      <w:r w:rsidR="00B63CA4" w:rsidRPr="000B20F2">
        <w:rPr>
          <w:rFonts w:ascii="Arial" w:hAnsi="Arial" w:cs="Arial"/>
          <w:b/>
          <w:bCs/>
          <w:color w:val="6A2041"/>
          <w:sz w:val="28"/>
          <w:szCs w:val="28"/>
          <w:lang w:val="uk-UA"/>
        </w:rPr>
        <w:t>Аналіз існуючих</w:t>
      </w:r>
      <w:r w:rsidRPr="000B20F2">
        <w:rPr>
          <w:rFonts w:ascii="Arial" w:hAnsi="Arial" w:cs="Arial"/>
          <w:b/>
          <w:bCs/>
          <w:color w:val="6A2041"/>
          <w:sz w:val="28"/>
          <w:szCs w:val="28"/>
          <w:lang w:val="uk-UA"/>
        </w:rPr>
        <w:t xml:space="preserve"> доказів</w:t>
      </w:r>
    </w:p>
    <w:p w14:paraId="467E4926" w14:textId="77777777" w:rsidR="00E568A1" w:rsidRPr="00464441" w:rsidRDefault="00E568A1" w:rsidP="0037724F">
      <w:pPr>
        <w:autoSpaceDE w:val="0"/>
        <w:autoSpaceDN w:val="0"/>
        <w:adjustRightInd w:val="0"/>
        <w:spacing w:after="0" w:line="240" w:lineRule="auto"/>
        <w:jc w:val="both"/>
        <w:rPr>
          <w:rFonts w:ascii="Arial" w:hAnsi="Arial" w:cs="Arial"/>
          <w:color w:val="000000"/>
          <w:sz w:val="24"/>
          <w:szCs w:val="24"/>
          <w:lang w:val="uk-UA"/>
        </w:rPr>
      </w:pPr>
    </w:p>
    <w:p w14:paraId="75C91AD5" w14:textId="1E9A9E6F" w:rsidR="00E568A1" w:rsidRPr="0063031E" w:rsidRDefault="00E568A1" w:rsidP="0037724F">
      <w:pPr>
        <w:autoSpaceDE w:val="0"/>
        <w:autoSpaceDN w:val="0"/>
        <w:adjustRightInd w:val="0"/>
        <w:spacing w:after="0" w:line="240" w:lineRule="auto"/>
        <w:jc w:val="both"/>
        <w:rPr>
          <w:rFonts w:ascii="Times New Roman" w:hAnsi="Times New Roman"/>
          <w:color w:val="000000"/>
          <w:sz w:val="24"/>
          <w:szCs w:val="24"/>
          <w:lang w:val="uk-UA"/>
        </w:rPr>
      </w:pPr>
      <w:r w:rsidRPr="00981506">
        <w:rPr>
          <w:rFonts w:ascii="Arial" w:hAnsi="Arial" w:cs="Arial"/>
          <w:color w:val="000000"/>
          <w:lang w:val="uk-UA"/>
        </w:rPr>
        <w:t>Публічно доступні дані стосовно доклінічної та клінічної розробки лікарського засобу були зібрані т</w:t>
      </w:r>
      <w:r w:rsidR="00B63CA4">
        <w:rPr>
          <w:rFonts w:ascii="Arial" w:hAnsi="Arial" w:cs="Arial"/>
          <w:color w:val="000000"/>
          <w:lang w:val="uk-UA"/>
        </w:rPr>
        <w:t>а проаналізовані з метою оцінки ефективності, безпеки та переносимості</w:t>
      </w:r>
      <w:r>
        <w:rPr>
          <w:rFonts w:ascii="Arial" w:hAnsi="Arial" w:cs="Arial"/>
          <w:color w:val="000000"/>
          <w:lang w:val="uk-UA"/>
        </w:rPr>
        <w:t xml:space="preserve"> препарату</w:t>
      </w:r>
      <w:r w:rsidRPr="00981506">
        <w:rPr>
          <w:rFonts w:ascii="Arial" w:hAnsi="Arial" w:cs="Arial"/>
          <w:color w:val="000000"/>
          <w:vertAlign w:val="superscript"/>
          <w:lang w:val="uk-UA"/>
        </w:rPr>
        <w:t>10</w:t>
      </w:r>
      <w:r w:rsidR="0071518C">
        <w:rPr>
          <w:rFonts w:ascii="Arial" w:hAnsi="Arial" w:cs="Arial"/>
          <w:color w:val="000000"/>
          <w:lang w:val="uk-UA"/>
        </w:rPr>
        <w:t xml:space="preserve">, </w:t>
      </w:r>
      <w:r w:rsidRPr="00981506">
        <w:rPr>
          <w:rFonts w:ascii="Arial" w:hAnsi="Arial" w:cs="Arial"/>
          <w:color w:val="000000"/>
          <w:lang w:val="uk-UA"/>
        </w:rPr>
        <w:t xml:space="preserve">та доповнені методом моделювання </w:t>
      </w:r>
      <w:r w:rsidR="0071518C">
        <w:rPr>
          <w:rFonts w:ascii="Arial" w:hAnsi="Arial" w:cs="Arial"/>
          <w:color w:val="000000"/>
          <w:lang w:val="uk-UA"/>
        </w:rPr>
        <w:t>оцінювання</w:t>
      </w:r>
      <w:r w:rsidRPr="00981506">
        <w:rPr>
          <w:rFonts w:ascii="Arial" w:hAnsi="Arial" w:cs="Arial"/>
          <w:color w:val="000000"/>
          <w:lang w:val="uk-UA"/>
        </w:rPr>
        <w:t xml:space="preserve"> економічної ефективності застосування препарату в </w:t>
      </w:r>
      <w:r w:rsidR="0071518C">
        <w:rPr>
          <w:rFonts w:ascii="Arial" w:hAnsi="Arial" w:cs="Arial"/>
          <w:color w:val="000000"/>
          <w:lang w:val="uk-UA"/>
        </w:rPr>
        <w:t>рамках програм</w:t>
      </w:r>
      <w:r w:rsidRPr="00981506">
        <w:rPr>
          <w:rFonts w:ascii="Arial" w:hAnsi="Arial" w:cs="Arial"/>
          <w:color w:val="000000"/>
          <w:lang w:val="uk-UA"/>
        </w:rPr>
        <w:t xml:space="preserve"> </w:t>
      </w:r>
      <w:r w:rsidR="0071518C">
        <w:rPr>
          <w:rFonts w:ascii="Arial" w:hAnsi="Arial" w:cs="Arial"/>
          <w:color w:val="000000"/>
          <w:lang w:val="uk-UA"/>
        </w:rPr>
        <w:t xml:space="preserve">з </w:t>
      </w:r>
      <w:r w:rsidR="00B63CA4">
        <w:rPr>
          <w:rFonts w:ascii="Arial" w:hAnsi="Arial" w:cs="Arial"/>
          <w:color w:val="000000"/>
          <w:lang w:val="uk-UA"/>
        </w:rPr>
        <w:t xml:space="preserve">МР </w:t>
      </w:r>
      <w:r w:rsidRPr="00981506">
        <w:rPr>
          <w:rFonts w:ascii="Arial" w:hAnsi="Arial" w:cs="Arial"/>
          <w:color w:val="000000"/>
          <w:lang w:val="uk-UA"/>
        </w:rPr>
        <w:t>ТБ.</w:t>
      </w:r>
      <w:r>
        <w:rPr>
          <w:rFonts w:ascii="Arial" w:hAnsi="Arial" w:cs="Arial"/>
          <w:color w:val="000000"/>
          <w:lang w:val="uk-UA"/>
        </w:rPr>
        <w:t xml:space="preserve"> </w:t>
      </w:r>
      <w:r w:rsidR="000545A7">
        <w:rPr>
          <w:rFonts w:ascii="Arial" w:hAnsi="Arial" w:cs="Arial"/>
          <w:color w:val="000000"/>
          <w:lang w:val="uk-UA"/>
        </w:rPr>
        <w:t>Також о</w:t>
      </w:r>
      <w:r w:rsidRPr="00464441">
        <w:rPr>
          <w:rFonts w:ascii="Arial" w:hAnsi="Arial" w:cs="Arial"/>
          <w:color w:val="000000"/>
          <w:lang w:val="uk-UA"/>
        </w:rPr>
        <w:t>бгово</w:t>
      </w:r>
      <w:r w:rsidR="0071518C">
        <w:rPr>
          <w:rFonts w:ascii="Arial" w:hAnsi="Arial" w:cs="Arial"/>
          <w:color w:val="000000"/>
          <w:lang w:val="uk-UA"/>
        </w:rPr>
        <w:t xml:space="preserve">рювалися </w:t>
      </w:r>
      <w:r w:rsidR="000545A7">
        <w:rPr>
          <w:rFonts w:ascii="Arial" w:hAnsi="Arial" w:cs="Arial"/>
          <w:color w:val="000000"/>
          <w:lang w:val="uk-UA"/>
        </w:rPr>
        <w:t xml:space="preserve">проблеми, на які необхідно звернути увагу під час </w:t>
      </w:r>
      <w:r w:rsidR="0071518C">
        <w:rPr>
          <w:rFonts w:ascii="Arial" w:hAnsi="Arial" w:cs="Arial"/>
          <w:color w:val="000000"/>
          <w:lang w:val="uk-UA"/>
        </w:rPr>
        <w:t xml:space="preserve">проведення </w:t>
      </w:r>
      <w:r w:rsidRPr="00464441">
        <w:rPr>
          <w:rFonts w:ascii="Arial" w:hAnsi="Arial" w:cs="Arial"/>
          <w:color w:val="000000"/>
          <w:lang w:val="uk-UA"/>
        </w:rPr>
        <w:t xml:space="preserve">майбутніх досліджень. Крім того, </w:t>
      </w:r>
      <w:r w:rsidR="000545A7">
        <w:rPr>
          <w:rFonts w:ascii="Arial" w:hAnsi="Arial" w:cs="Arial"/>
          <w:color w:val="000000"/>
          <w:lang w:val="uk-UA"/>
        </w:rPr>
        <w:t xml:space="preserve">ВООЗ отримала від виробника </w:t>
      </w:r>
      <w:r w:rsidR="004F311B">
        <w:rPr>
          <w:rFonts w:ascii="Arial" w:hAnsi="Arial" w:cs="Arial"/>
          <w:color w:val="000000"/>
          <w:lang w:val="uk-UA"/>
        </w:rPr>
        <w:t>дані кінцевий результатів базового</w:t>
      </w:r>
      <w:r w:rsidR="000545A7">
        <w:rPr>
          <w:rFonts w:ascii="Arial" w:hAnsi="Arial" w:cs="Arial"/>
          <w:color w:val="000000"/>
          <w:lang w:val="uk-UA"/>
        </w:rPr>
        <w:t xml:space="preserve"> клінічного випробування Фази II (підтвердження ефективності), </w:t>
      </w:r>
      <w:r w:rsidRPr="00464441">
        <w:rPr>
          <w:rFonts w:ascii="Arial" w:hAnsi="Arial" w:cs="Arial"/>
          <w:color w:val="000000"/>
          <w:lang w:val="uk-UA"/>
        </w:rPr>
        <w:t>які не були дост</w:t>
      </w:r>
      <w:r w:rsidR="0063031E">
        <w:rPr>
          <w:rFonts w:ascii="Arial" w:hAnsi="Arial" w:cs="Arial"/>
          <w:color w:val="000000"/>
          <w:lang w:val="uk-UA"/>
        </w:rPr>
        <w:t xml:space="preserve">упні на момент аналізу </w:t>
      </w:r>
      <w:r w:rsidR="0063031E" w:rsidRPr="0063031E">
        <w:rPr>
          <w:rFonts w:ascii="Arial" w:hAnsi="Arial" w:cs="Arial"/>
          <w:color w:val="000000"/>
          <w:lang w:val="uk-UA"/>
        </w:rPr>
        <w:t>доказів</w:t>
      </w:r>
      <w:r w:rsidR="0071518C" w:rsidRPr="0063031E">
        <w:rPr>
          <w:rFonts w:ascii="Arial" w:hAnsi="Arial" w:cs="Arial"/>
          <w:color w:val="000000"/>
          <w:lang w:val="uk-UA"/>
        </w:rPr>
        <w:t xml:space="preserve"> </w:t>
      </w:r>
      <w:r w:rsidR="0063031E" w:rsidRPr="0063031E">
        <w:rPr>
          <w:rFonts w:ascii="Arial" w:hAnsi="Arial" w:cs="Arial"/>
          <w:color w:val="000000" w:themeColor="text1"/>
          <w:lang w:val="uk-UA"/>
        </w:rPr>
        <w:t>Управлінням з санітарного нагляду за якістю харчових продуктів і медикаментів США</w:t>
      </w:r>
      <w:r w:rsidRPr="0063031E">
        <w:rPr>
          <w:rFonts w:ascii="Arial" w:hAnsi="Arial" w:cs="Arial"/>
          <w:color w:val="000000"/>
          <w:lang w:val="uk-UA"/>
        </w:rPr>
        <w:t>).</w:t>
      </w:r>
      <w:r w:rsidRPr="0063031E">
        <w:rPr>
          <w:rFonts w:ascii="Times New Roman" w:hAnsi="Times New Roman"/>
          <w:color w:val="000000"/>
          <w:sz w:val="24"/>
          <w:szCs w:val="24"/>
          <w:lang w:val="uk-UA"/>
        </w:rPr>
        <w:t xml:space="preserve"> </w:t>
      </w:r>
    </w:p>
    <w:p w14:paraId="3F174A06" w14:textId="77777777" w:rsidR="00E568A1" w:rsidRPr="00981506" w:rsidRDefault="00E568A1" w:rsidP="0037724F">
      <w:pPr>
        <w:autoSpaceDE w:val="0"/>
        <w:autoSpaceDN w:val="0"/>
        <w:adjustRightInd w:val="0"/>
        <w:spacing w:after="0" w:line="240" w:lineRule="auto"/>
        <w:jc w:val="both"/>
        <w:rPr>
          <w:rFonts w:ascii="Arial" w:hAnsi="Arial" w:cs="Arial"/>
          <w:color w:val="000000"/>
          <w:lang w:val="uk-UA"/>
        </w:rPr>
      </w:pPr>
    </w:p>
    <w:p w14:paraId="7B7FB0B4" w14:textId="1936498B" w:rsidR="00E568A1" w:rsidRDefault="00E568A1" w:rsidP="0037724F">
      <w:pPr>
        <w:autoSpaceDE w:val="0"/>
        <w:autoSpaceDN w:val="0"/>
        <w:adjustRightInd w:val="0"/>
        <w:spacing w:after="0" w:line="240" w:lineRule="auto"/>
        <w:jc w:val="both"/>
        <w:rPr>
          <w:rFonts w:ascii="Arial" w:hAnsi="Arial" w:cs="Arial"/>
          <w:color w:val="000000"/>
          <w:lang w:val="uk-UA"/>
        </w:rPr>
      </w:pPr>
      <w:r w:rsidRPr="00F01A00">
        <w:rPr>
          <w:rFonts w:ascii="Arial" w:hAnsi="Arial" w:cs="Arial"/>
          <w:color w:val="000000"/>
        </w:rPr>
        <w:t>Був залучений неза</w:t>
      </w:r>
      <w:r w:rsidR="0063031E">
        <w:rPr>
          <w:rFonts w:ascii="Arial" w:hAnsi="Arial" w:cs="Arial"/>
          <w:color w:val="000000"/>
        </w:rPr>
        <w:t>лежний консультант для аналізу</w:t>
      </w:r>
      <w:r w:rsidRPr="00F01A00">
        <w:rPr>
          <w:rFonts w:ascii="Arial" w:hAnsi="Arial" w:cs="Arial"/>
          <w:color w:val="000000"/>
        </w:rPr>
        <w:t xml:space="preserve"> та узаг</w:t>
      </w:r>
      <w:r w:rsidR="0063031E">
        <w:rPr>
          <w:rFonts w:ascii="Arial" w:hAnsi="Arial" w:cs="Arial"/>
          <w:color w:val="000000"/>
        </w:rPr>
        <w:t xml:space="preserve">альнення всіх наявних даних та складання </w:t>
      </w:r>
      <w:r w:rsidRPr="00F01A00">
        <w:rPr>
          <w:rFonts w:ascii="Arial" w:hAnsi="Arial" w:cs="Arial"/>
          <w:color w:val="000000"/>
        </w:rPr>
        <w:t>комплексного і вичерпного документу, предст</w:t>
      </w:r>
      <w:r w:rsidR="0063031E">
        <w:rPr>
          <w:rFonts w:ascii="Arial" w:hAnsi="Arial" w:cs="Arial"/>
          <w:color w:val="000000"/>
        </w:rPr>
        <w:t xml:space="preserve">авленого усім членам ЕГ, та розробки чорнових </w:t>
      </w:r>
      <w:r w:rsidRPr="00F01A00">
        <w:rPr>
          <w:rFonts w:ascii="Arial" w:hAnsi="Arial" w:cs="Arial"/>
          <w:color w:val="000000"/>
        </w:rPr>
        <w:t xml:space="preserve">таблиць </w:t>
      </w:r>
      <w:r w:rsidR="0063031E">
        <w:rPr>
          <w:rFonts w:ascii="Arial" w:hAnsi="Arial" w:cs="Arial"/>
          <w:color w:val="000000"/>
          <w:lang w:val="uk-UA"/>
        </w:rPr>
        <w:t xml:space="preserve">доказів </w:t>
      </w:r>
      <w:r w:rsidRPr="00F01A00">
        <w:rPr>
          <w:rFonts w:ascii="Arial" w:hAnsi="Arial" w:cs="Arial"/>
          <w:color w:val="000000"/>
          <w:lang w:val="en-US"/>
        </w:rPr>
        <w:t>GRADE</w:t>
      </w:r>
      <w:r w:rsidRPr="00F01A00">
        <w:rPr>
          <w:rFonts w:ascii="Arial" w:hAnsi="Arial" w:cs="Arial"/>
          <w:color w:val="000000"/>
          <w:vertAlign w:val="superscript"/>
        </w:rPr>
        <w:t>11</w:t>
      </w:r>
      <w:r w:rsidRPr="00F01A00">
        <w:rPr>
          <w:rFonts w:ascii="Arial" w:hAnsi="Arial" w:cs="Arial"/>
          <w:color w:val="000000"/>
        </w:rPr>
        <w:t>, які були розглянуті ЕГ.</w:t>
      </w:r>
      <w:r w:rsidR="0011456E">
        <w:rPr>
          <w:rFonts w:ascii="Arial" w:hAnsi="Arial" w:cs="Arial"/>
          <w:color w:val="000000"/>
        </w:rPr>
        <w:t xml:space="preserve"> </w:t>
      </w:r>
      <w:r w:rsidR="0011456E" w:rsidRPr="00F01A00">
        <w:rPr>
          <w:rFonts w:ascii="Arial" w:hAnsi="Arial" w:cs="Arial"/>
          <w:color w:val="000000"/>
        </w:rPr>
        <w:t xml:space="preserve">Для дотримання чинних стандартів оцінки доказів при формулюванні методичних рекомендацій було використано систему </w:t>
      </w:r>
      <w:r w:rsidR="0011456E" w:rsidRPr="00F01A00">
        <w:rPr>
          <w:rFonts w:ascii="Arial" w:hAnsi="Arial" w:cs="Arial"/>
          <w:color w:val="000000"/>
          <w:lang w:val="en-US"/>
        </w:rPr>
        <w:t>GRADE</w:t>
      </w:r>
      <w:r w:rsidR="0011456E" w:rsidRPr="00F01A00">
        <w:rPr>
          <w:rFonts w:ascii="Arial" w:hAnsi="Arial" w:cs="Arial"/>
          <w:color w:val="000000"/>
        </w:rPr>
        <w:t>, прийняту ВООЗ для розробки всіх</w:t>
      </w:r>
      <w:r w:rsidR="0011456E">
        <w:rPr>
          <w:rFonts w:ascii="Arial" w:hAnsi="Arial" w:cs="Arial"/>
          <w:color w:val="000000"/>
        </w:rPr>
        <w:t xml:space="preserve"> </w:t>
      </w:r>
      <w:r w:rsidR="0011456E" w:rsidRPr="00F01A00">
        <w:rPr>
          <w:rFonts w:ascii="Arial" w:hAnsi="Arial" w:cs="Arial"/>
          <w:color w:val="000000"/>
        </w:rPr>
        <w:t xml:space="preserve">методичних  та керівних принципів </w:t>
      </w:r>
      <w:r w:rsidR="0011456E" w:rsidRPr="00F01A00">
        <w:rPr>
          <w:rFonts w:ascii="Arial" w:hAnsi="Arial" w:cs="Arial"/>
          <w:color w:val="000000"/>
          <w:vertAlign w:val="superscript"/>
        </w:rPr>
        <w:t>12</w:t>
      </w:r>
      <w:r w:rsidR="0011456E" w:rsidRPr="00F01A00">
        <w:rPr>
          <w:rFonts w:ascii="Arial" w:hAnsi="Arial" w:cs="Arial"/>
          <w:color w:val="000000"/>
        </w:rPr>
        <w:t>.</w:t>
      </w:r>
      <w:r w:rsidR="0011456E">
        <w:rPr>
          <w:rFonts w:ascii="Arial" w:hAnsi="Arial" w:cs="Arial"/>
          <w:color w:val="000000"/>
          <w:lang w:val="uk-UA"/>
        </w:rPr>
        <w:t xml:space="preserve">  </w:t>
      </w:r>
      <w:r w:rsidR="0011456E" w:rsidRPr="00F01A00">
        <w:rPr>
          <w:rFonts w:ascii="Arial" w:hAnsi="Arial" w:cs="Arial"/>
          <w:color w:val="000000"/>
          <w:lang w:val="uk-UA"/>
        </w:rPr>
        <w:t>Підхід GRADE, призначений для оцінки як якості доказів, так і ефективності рекомендацій, має на меті забезпечити комплексний та прозорий</w:t>
      </w:r>
      <w:r w:rsidR="0063031E">
        <w:rPr>
          <w:rFonts w:ascii="Arial" w:hAnsi="Arial" w:cs="Arial"/>
          <w:color w:val="000000"/>
          <w:lang w:val="uk-UA"/>
        </w:rPr>
        <w:t xml:space="preserve"> </w:t>
      </w:r>
      <w:r w:rsidR="0063031E" w:rsidRPr="00F01A00">
        <w:rPr>
          <w:rFonts w:ascii="Arial" w:hAnsi="Arial" w:cs="Arial"/>
          <w:color w:val="000000"/>
          <w:lang w:val="uk-UA"/>
        </w:rPr>
        <w:t>підхід до розробки</w:t>
      </w:r>
    </w:p>
    <w:p w14:paraId="704C8684" w14:textId="62B341FD" w:rsidR="00006C1C" w:rsidRDefault="0011456E"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_________</w:t>
      </w:r>
      <w:r w:rsidR="00006C1C">
        <w:rPr>
          <w:rFonts w:ascii="Arial" w:hAnsi="Arial" w:cs="Arial"/>
          <w:color w:val="000000"/>
          <w:lang w:val="uk-UA"/>
        </w:rPr>
        <w:t>___________</w:t>
      </w:r>
    </w:p>
    <w:p w14:paraId="788C2FD4" w14:textId="77777777" w:rsidR="00006C1C" w:rsidRPr="007578B5" w:rsidRDefault="00006C1C" w:rsidP="00006C1C">
      <w:pPr>
        <w:autoSpaceDE w:val="0"/>
        <w:autoSpaceDN w:val="0"/>
        <w:adjustRightInd w:val="0"/>
        <w:spacing w:after="0" w:line="240" w:lineRule="auto"/>
        <w:rPr>
          <w:rFonts w:ascii="Arial" w:hAnsi="Arial" w:cs="Arial"/>
          <w:sz w:val="18"/>
          <w:szCs w:val="18"/>
          <w:lang w:val="uk-UA"/>
        </w:rPr>
      </w:pPr>
      <w:r w:rsidRPr="0011456E">
        <w:rPr>
          <w:rFonts w:ascii="Arial" w:hAnsi="Arial" w:cs="Arial"/>
          <w:b/>
          <w:sz w:val="18"/>
          <w:szCs w:val="18"/>
          <w:vertAlign w:val="superscript"/>
          <w:lang w:val="uk-UA"/>
        </w:rPr>
        <w:t>10</w:t>
      </w:r>
      <w:r w:rsidRPr="007578B5">
        <w:rPr>
          <w:rFonts w:ascii="Arial" w:hAnsi="Arial" w:cs="Arial"/>
          <w:sz w:val="18"/>
          <w:szCs w:val="18"/>
          <w:lang w:val="uk-UA"/>
        </w:rPr>
        <w:t xml:space="preserve"> </w:t>
      </w:r>
      <w:r>
        <w:rPr>
          <w:rFonts w:ascii="Arial" w:hAnsi="Arial" w:cs="Arial"/>
          <w:sz w:val="18"/>
          <w:szCs w:val="18"/>
          <w:lang w:val="uk-UA"/>
        </w:rPr>
        <w:t xml:space="preserve"> </w:t>
      </w:r>
      <w:r w:rsidRPr="007578B5">
        <w:rPr>
          <w:rFonts w:ascii="Arial" w:hAnsi="Arial" w:cs="Arial"/>
          <w:sz w:val="18"/>
          <w:szCs w:val="18"/>
          <w:lang w:val="uk-UA"/>
        </w:rPr>
        <w:t>Вся інформація доступна на сайті: http://www.fda.gov/AdvisoryCommittees /CommitteesMeetingMaterials/Drugs/Anti-InfectiveDrugsAdvisoryCommittee/ucm293600.htm</w:t>
      </w:r>
    </w:p>
    <w:p w14:paraId="3513C377" w14:textId="77777777" w:rsidR="00006C1C" w:rsidRPr="007578B5" w:rsidRDefault="00006C1C" w:rsidP="00006C1C">
      <w:pPr>
        <w:autoSpaceDE w:val="0"/>
        <w:autoSpaceDN w:val="0"/>
        <w:adjustRightInd w:val="0"/>
        <w:spacing w:after="0" w:line="240" w:lineRule="auto"/>
        <w:rPr>
          <w:rFonts w:ascii="Arial" w:hAnsi="Arial" w:cs="Arial"/>
          <w:sz w:val="18"/>
          <w:szCs w:val="18"/>
          <w:lang w:val="uk-UA"/>
        </w:rPr>
      </w:pPr>
      <w:r w:rsidRPr="0011456E">
        <w:rPr>
          <w:rFonts w:ascii="Arial" w:hAnsi="Arial" w:cs="Arial"/>
          <w:b/>
          <w:sz w:val="18"/>
          <w:szCs w:val="18"/>
          <w:vertAlign w:val="superscript"/>
          <w:lang w:val="uk-UA"/>
        </w:rPr>
        <w:t>11</w:t>
      </w:r>
      <w:r w:rsidRPr="007578B5">
        <w:rPr>
          <w:rFonts w:ascii="Arial" w:hAnsi="Arial" w:cs="Arial"/>
          <w:sz w:val="18"/>
          <w:szCs w:val="18"/>
          <w:lang w:val="uk-UA"/>
        </w:rPr>
        <w:t xml:space="preserve"> GRADE: Оцінка, розробка та експертиза ступенів обгрунтованості клінічних рекомендацій (www.gradeworkinggroup.org).</w:t>
      </w:r>
    </w:p>
    <w:p w14:paraId="523E71FD" w14:textId="77777777" w:rsidR="00006C1C" w:rsidRPr="00F01A00" w:rsidRDefault="00006C1C" w:rsidP="0037724F">
      <w:pPr>
        <w:autoSpaceDE w:val="0"/>
        <w:autoSpaceDN w:val="0"/>
        <w:adjustRightInd w:val="0"/>
        <w:spacing w:after="0" w:line="240" w:lineRule="auto"/>
        <w:jc w:val="both"/>
        <w:rPr>
          <w:rFonts w:ascii="Arial" w:hAnsi="Arial" w:cs="Arial"/>
          <w:color w:val="000000"/>
          <w:lang w:val="uk-UA"/>
        </w:rPr>
      </w:pPr>
    </w:p>
    <w:p w14:paraId="40A7D4DF" w14:textId="30330623" w:rsidR="00E568A1" w:rsidRPr="00BE6580" w:rsidRDefault="00E568A1" w:rsidP="0037724F">
      <w:pPr>
        <w:autoSpaceDE w:val="0"/>
        <w:autoSpaceDN w:val="0"/>
        <w:adjustRightInd w:val="0"/>
        <w:spacing w:after="0" w:line="240" w:lineRule="auto"/>
        <w:jc w:val="both"/>
        <w:rPr>
          <w:rFonts w:ascii="Arial" w:hAnsi="Arial" w:cs="Arial"/>
          <w:color w:val="000000"/>
          <w:lang w:val="uk-UA"/>
        </w:rPr>
      </w:pPr>
      <w:r w:rsidRPr="00F01A00">
        <w:rPr>
          <w:rFonts w:ascii="Arial" w:hAnsi="Arial" w:cs="Arial"/>
          <w:color w:val="000000"/>
          <w:lang w:val="uk-UA"/>
        </w:rPr>
        <w:lastRenderedPageBreak/>
        <w:t>методичних рекомендацій.</w:t>
      </w:r>
      <w:r>
        <w:rPr>
          <w:rFonts w:ascii="Arial" w:hAnsi="Arial" w:cs="Arial"/>
          <w:color w:val="000000"/>
          <w:lang w:val="uk-UA"/>
        </w:rPr>
        <w:t xml:space="preserve"> </w:t>
      </w:r>
      <w:r w:rsidR="0071518C">
        <w:rPr>
          <w:rFonts w:ascii="Arial" w:hAnsi="Arial" w:cs="Arial"/>
          <w:color w:val="000000"/>
          <w:lang w:val="uk-UA"/>
        </w:rPr>
        <w:t xml:space="preserve">Процес </w:t>
      </w:r>
      <w:r w:rsidRPr="00BE6580">
        <w:rPr>
          <w:rFonts w:ascii="Arial" w:hAnsi="Arial" w:cs="Arial"/>
          <w:color w:val="000000"/>
          <w:lang w:val="uk-UA"/>
        </w:rPr>
        <w:t xml:space="preserve">GRADE оцінює вплив конкретного втручання на важливі для пацієнта результати та узагальнення результатів для цільової групи населення, беручи до уваги </w:t>
      </w:r>
      <w:r w:rsidR="0063031E" w:rsidRPr="00BE6580">
        <w:rPr>
          <w:rFonts w:ascii="Arial" w:hAnsi="Arial" w:cs="Arial"/>
          <w:color w:val="000000"/>
          <w:lang w:val="uk-UA"/>
        </w:rPr>
        <w:t>компаратор</w:t>
      </w:r>
      <w:r w:rsidR="0063031E">
        <w:rPr>
          <w:rFonts w:ascii="Arial" w:hAnsi="Arial" w:cs="Arial"/>
          <w:color w:val="000000"/>
          <w:lang w:val="uk-UA"/>
        </w:rPr>
        <w:t>, який</w:t>
      </w:r>
      <w:r w:rsidR="0063031E" w:rsidRPr="00BE6580">
        <w:rPr>
          <w:rFonts w:ascii="Arial" w:hAnsi="Arial" w:cs="Arial"/>
          <w:color w:val="000000"/>
          <w:lang w:val="uk-UA"/>
        </w:rPr>
        <w:t xml:space="preserve"> </w:t>
      </w:r>
      <w:r w:rsidR="0063031E">
        <w:rPr>
          <w:rFonts w:ascii="Arial" w:hAnsi="Arial" w:cs="Arial"/>
          <w:color w:val="000000"/>
          <w:lang w:val="uk-UA"/>
        </w:rPr>
        <w:t>використовувався, та чи було</w:t>
      </w:r>
      <w:r w:rsidRPr="00BE6580">
        <w:rPr>
          <w:rFonts w:ascii="Arial" w:hAnsi="Arial" w:cs="Arial"/>
          <w:color w:val="000000"/>
          <w:lang w:val="uk-UA"/>
        </w:rPr>
        <w:t xml:space="preserve"> порівняння прямим або непрямим.</w:t>
      </w:r>
      <w:r w:rsidR="0063031E">
        <w:rPr>
          <w:rFonts w:ascii="Arial" w:hAnsi="Arial" w:cs="Arial"/>
          <w:color w:val="000000"/>
          <w:lang w:val="uk-UA"/>
        </w:rPr>
        <w:t xml:space="preserve"> </w:t>
      </w:r>
    </w:p>
    <w:p w14:paraId="019E4050" w14:textId="77777777" w:rsidR="00E568A1" w:rsidRPr="00F01A00" w:rsidRDefault="00E568A1" w:rsidP="0037724F">
      <w:pPr>
        <w:autoSpaceDE w:val="0"/>
        <w:autoSpaceDN w:val="0"/>
        <w:adjustRightInd w:val="0"/>
        <w:spacing w:after="0" w:line="240" w:lineRule="auto"/>
        <w:jc w:val="both"/>
        <w:rPr>
          <w:rFonts w:ascii="Arial" w:hAnsi="Arial" w:cs="Arial"/>
          <w:color w:val="000000"/>
          <w:lang w:val="uk-UA"/>
        </w:rPr>
      </w:pPr>
    </w:p>
    <w:p w14:paraId="7440D4A5" w14:textId="77777777" w:rsidR="007E08F5" w:rsidRPr="009B6FD9" w:rsidRDefault="00E568A1" w:rsidP="007E08F5">
      <w:pPr>
        <w:autoSpaceDE w:val="0"/>
        <w:autoSpaceDN w:val="0"/>
        <w:adjustRightInd w:val="0"/>
        <w:spacing w:after="0" w:line="240" w:lineRule="auto"/>
        <w:jc w:val="both"/>
        <w:rPr>
          <w:rFonts w:ascii="Arial" w:hAnsi="Arial" w:cs="Arial"/>
          <w:color w:val="000000"/>
        </w:rPr>
      </w:pPr>
      <w:r w:rsidRPr="00CE44B2">
        <w:rPr>
          <w:rFonts w:ascii="Arial" w:hAnsi="Arial" w:cs="Arial"/>
          <w:iCs/>
          <w:color w:val="000000"/>
          <w:lang w:val="uk-UA"/>
        </w:rPr>
        <w:t xml:space="preserve">Запитання PICO </w:t>
      </w:r>
      <w:r w:rsidR="00B67B79">
        <w:rPr>
          <w:rFonts w:ascii="Arial" w:hAnsi="Arial" w:cs="Arial"/>
          <w:iCs/>
          <w:color w:val="000000"/>
          <w:lang w:val="uk-UA"/>
        </w:rPr>
        <w:t>були попередньо визначені</w:t>
      </w:r>
      <w:r w:rsidRPr="00CE44B2">
        <w:rPr>
          <w:rFonts w:ascii="Arial" w:hAnsi="Arial" w:cs="Arial"/>
          <w:iCs/>
          <w:color w:val="000000"/>
          <w:lang w:val="uk-UA"/>
        </w:rPr>
        <w:t xml:space="preserve"> під час консультацій з ЕГ ВООЗ:</w:t>
      </w:r>
      <w:r w:rsidRPr="00CE44B2">
        <w:rPr>
          <w:rFonts w:ascii="Arial" w:hAnsi="Arial" w:cs="Arial"/>
          <w:i/>
          <w:iCs/>
          <w:color w:val="000000"/>
          <w:lang w:val="uk-UA"/>
        </w:rPr>
        <w:t xml:space="preserve"> </w:t>
      </w:r>
      <w:r w:rsidR="007E08F5" w:rsidRPr="00A60AE1">
        <w:rPr>
          <w:rFonts w:ascii="Arial" w:hAnsi="Arial" w:cs="Arial"/>
          <w:i/>
          <w:iCs/>
          <w:color w:val="000000"/>
        </w:rPr>
        <w:t>"</w:t>
      </w:r>
      <w:r w:rsidR="007E08F5">
        <w:rPr>
          <w:rFonts w:ascii="Arial" w:hAnsi="Arial" w:cs="Arial"/>
          <w:i/>
          <w:iCs/>
          <w:color w:val="000000"/>
        </w:rPr>
        <w:t>Чи є докази безпечного включення</w:t>
      </w:r>
      <w:r w:rsidR="007E08F5" w:rsidRPr="00A60AE1">
        <w:rPr>
          <w:rFonts w:ascii="Arial" w:hAnsi="Arial" w:cs="Arial"/>
          <w:i/>
          <w:iCs/>
          <w:color w:val="000000"/>
        </w:rPr>
        <w:t xml:space="preserve"> бедаквіліну до </w:t>
      </w:r>
      <w:r w:rsidR="007E08F5">
        <w:rPr>
          <w:rFonts w:ascii="Arial" w:hAnsi="Arial" w:cs="Arial"/>
          <w:i/>
          <w:iCs/>
          <w:color w:val="000000"/>
        </w:rPr>
        <w:t>рекомендованого</w:t>
      </w:r>
      <w:r w:rsidR="007E08F5" w:rsidRPr="00A60AE1">
        <w:rPr>
          <w:rFonts w:ascii="Arial" w:hAnsi="Arial" w:cs="Arial"/>
          <w:i/>
          <w:iCs/>
          <w:color w:val="000000"/>
        </w:rPr>
        <w:t xml:space="preserve"> ВООЗ фонового режиму лікування</w:t>
      </w:r>
      <w:r w:rsidR="007E08F5">
        <w:rPr>
          <w:rFonts w:ascii="Arial" w:hAnsi="Arial" w:cs="Arial"/>
          <w:i/>
          <w:iCs/>
          <w:color w:val="000000"/>
        </w:rPr>
        <w:t xml:space="preserve"> пацієнта з МР ТБ та докази очевидного покращення результатів лікування</w:t>
      </w:r>
      <w:r w:rsidR="007E08F5" w:rsidRPr="00A60AE1">
        <w:rPr>
          <w:rFonts w:ascii="Arial" w:hAnsi="Arial" w:cs="Arial"/>
          <w:i/>
          <w:iCs/>
          <w:color w:val="000000"/>
        </w:rPr>
        <w:t>?"</w:t>
      </w:r>
    </w:p>
    <w:p w14:paraId="762AA2CB" w14:textId="77777777" w:rsidR="007E08F5" w:rsidRPr="00A60AE1" w:rsidRDefault="007E08F5" w:rsidP="007E08F5">
      <w:pPr>
        <w:autoSpaceDE w:val="0"/>
        <w:autoSpaceDN w:val="0"/>
        <w:adjustRightInd w:val="0"/>
        <w:spacing w:after="0" w:line="240" w:lineRule="auto"/>
        <w:jc w:val="both"/>
        <w:rPr>
          <w:rFonts w:ascii="Arial" w:hAnsi="Arial" w:cs="Arial"/>
          <w:color w:val="000000"/>
          <w:sz w:val="18"/>
          <w:szCs w:val="18"/>
        </w:rPr>
      </w:pPr>
    </w:p>
    <w:p w14:paraId="5CB43277" w14:textId="77777777" w:rsidR="007E08F5" w:rsidRDefault="007E08F5" w:rsidP="007E08F5">
      <w:pPr>
        <w:autoSpaceDE w:val="0"/>
        <w:autoSpaceDN w:val="0"/>
        <w:adjustRightInd w:val="0"/>
        <w:spacing w:after="0" w:line="240" w:lineRule="auto"/>
        <w:jc w:val="both"/>
        <w:rPr>
          <w:rFonts w:ascii="Arial" w:hAnsi="Arial" w:cs="Arial"/>
          <w:bCs/>
          <w:color w:val="000000"/>
          <w:lang w:val="uk-UA"/>
        </w:rPr>
      </w:pPr>
      <w:r w:rsidRPr="00D920E7">
        <w:rPr>
          <w:rFonts w:ascii="Arial" w:hAnsi="Arial" w:cs="Arial"/>
          <w:bCs/>
          <w:color w:val="000000"/>
        </w:rPr>
        <w:t>Для оцінки ЕГ обрала наступні результати:</w:t>
      </w:r>
    </w:p>
    <w:p w14:paraId="0800EEA7" w14:textId="77777777" w:rsidR="007E08F5" w:rsidRPr="00FC3EA0" w:rsidRDefault="007E08F5" w:rsidP="007E08F5">
      <w:pPr>
        <w:autoSpaceDE w:val="0"/>
        <w:autoSpaceDN w:val="0"/>
        <w:adjustRightInd w:val="0"/>
        <w:spacing w:after="0" w:line="240" w:lineRule="auto"/>
        <w:jc w:val="both"/>
        <w:rPr>
          <w:rFonts w:ascii="Arial" w:hAnsi="Arial" w:cs="Arial"/>
          <w:bCs/>
          <w:color w:val="000000"/>
          <w:sz w:val="10"/>
          <w:szCs w:val="10"/>
          <w:lang w:val="uk-UA"/>
        </w:rPr>
      </w:pPr>
    </w:p>
    <w:p w14:paraId="26D033F8" w14:textId="77777777" w:rsidR="007E08F5" w:rsidRPr="00D920E7" w:rsidRDefault="007E08F5" w:rsidP="007E08F5">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1. </w:t>
      </w:r>
      <w:r>
        <w:rPr>
          <w:rFonts w:ascii="Arial" w:hAnsi="Arial" w:cs="Arial"/>
          <w:bCs/>
          <w:color w:val="000000"/>
          <w:lang w:val="uk-UA"/>
        </w:rPr>
        <w:t xml:space="preserve"> Одужання</w:t>
      </w:r>
      <w:r w:rsidRPr="00D920E7">
        <w:rPr>
          <w:rFonts w:ascii="Arial" w:hAnsi="Arial" w:cs="Arial"/>
          <w:bCs/>
          <w:color w:val="000000"/>
        </w:rPr>
        <w:t xml:space="preserve"> до </w:t>
      </w:r>
      <w:r>
        <w:rPr>
          <w:rFonts w:ascii="Arial" w:hAnsi="Arial" w:cs="Arial"/>
          <w:bCs/>
          <w:color w:val="000000"/>
          <w:lang w:val="uk-UA"/>
        </w:rPr>
        <w:t>завершення</w:t>
      </w:r>
      <w:r w:rsidRPr="00D920E7">
        <w:rPr>
          <w:rFonts w:ascii="Arial" w:hAnsi="Arial" w:cs="Arial"/>
          <w:bCs/>
          <w:color w:val="000000"/>
        </w:rPr>
        <w:t xml:space="preserve"> дослідження - 120 тижнів.</w:t>
      </w:r>
    </w:p>
    <w:p w14:paraId="1C666685" w14:textId="77777777" w:rsidR="007E08F5" w:rsidRPr="00D920E7" w:rsidRDefault="007E08F5" w:rsidP="007E08F5">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2. </w:t>
      </w:r>
      <w:r>
        <w:rPr>
          <w:rFonts w:ascii="Arial" w:hAnsi="Arial" w:cs="Arial"/>
          <w:bCs/>
          <w:color w:val="000000"/>
          <w:lang w:val="uk-UA"/>
        </w:rPr>
        <w:t xml:space="preserve"> </w:t>
      </w:r>
      <w:r>
        <w:rPr>
          <w:rFonts w:ascii="Arial" w:hAnsi="Arial" w:cs="Arial"/>
          <w:bCs/>
          <w:color w:val="000000"/>
        </w:rPr>
        <w:t xml:space="preserve">Серйозні побічні реакції під час фази дослідження </w:t>
      </w:r>
      <w:r w:rsidRPr="00D920E7">
        <w:rPr>
          <w:rFonts w:ascii="Arial" w:hAnsi="Arial" w:cs="Arial"/>
          <w:bCs/>
          <w:color w:val="000000"/>
        </w:rPr>
        <w:t>протягом 24 тижнів</w:t>
      </w:r>
      <w:r>
        <w:rPr>
          <w:rFonts w:ascii="Arial" w:hAnsi="Arial" w:cs="Arial"/>
          <w:bCs/>
          <w:color w:val="000000"/>
        </w:rPr>
        <w:t xml:space="preserve"> </w:t>
      </w:r>
      <w:r w:rsidRPr="00D920E7">
        <w:rPr>
          <w:rFonts w:ascii="Arial" w:hAnsi="Arial" w:cs="Arial"/>
          <w:bCs/>
          <w:color w:val="000000"/>
        </w:rPr>
        <w:t>лікування.</w:t>
      </w:r>
    </w:p>
    <w:p w14:paraId="1F77C35A" w14:textId="77777777" w:rsidR="007E08F5" w:rsidRPr="00D920E7" w:rsidRDefault="007E08F5" w:rsidP="007E08F5">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3. </w:t>
      </w:r>
      <w:r>
        <w:rPr>
          <w:rFonts w:ascii="Arial" w:hAnsi="Arial" w:cs="Arial"/>
          <w:bCs/>
          <w:color w:val="000000"/>
          <w:lang w:val="uk-UA"/>
        </w:rPr>
        <w:t xml:space="preserve"> </w:t>
      </w:r>
      <w:r w:rsidRPr="00D920E7">
        <w:rPr>
          <w:rFonts w:ascii="Arial" w:hAnsi="Arial" w:cs="Arial"/>
          <w:bCs/>
          <w:color w:val="000000"/>
        </w:rPr>
        <w:t>Смертність.</w:t>
      </w:r>
    </w:p>
    <w:p w14:paraId="508E0EAA" w14:textId="77777777" w:rsidR="007E08F5" w:rsidRPr="00D920E7" w:rsidRDefault="007E08F5" w:rsidP="007E08F5">
      <w:pPr>
        <w:autoSpaceDE w:val="0"/>
        <w:autoSpaceDN w:val="0"/>
        <w:adjustRightInd w:val="0"/>
        <w:spacing w:after="0" w:line="240" w:lineRule="auto"/>
        <w:jc w:val="both"/>
        <w:rPr>
          <w:rFonts w:ascii="Arial" w:hAnsi="Arial" w:cs="Arial"/>
          <w:bCs/>
          <w:color w:val="000000"/>
        </w:rPr>
      </w:pPr>
      <w:r w:rsidRPr="00D920E7">
        <w:rPr>
          <w:rFonts w:ascii="Arial" w:hAnsi="Arial" w:cs="Arial"/>
          <w:bCs/>
          <w:color w:val="000000"/>
        </w:rPr>
        <w:t xml:space="preserve">4. </w:t>
      </w:r>
      <w:r>
        <w:rPr>
          <w:rFonts w:ascii="Arial" w:hAnsi="Arial" w:cs="Arial"/>
          <w:bCs/>
          <w:color w:val="000000"/>
          <w:lang w:val="uk-UA"/>
        </w:rPr>
        <w:t xml:space="preserve"> </w:t>
      </w:r>
      <w:r w:rsidRPr="00D920E7">
        <w:rPr>
          <w:rFonts w:ascii="Arial" w:hAnsi="Arial" w:cs="Arial"/>
          <w:bCs/>
          <w:color w:val="000000"/>
        </w:rPr>
        <w:t xml:space="preserve">Час </w:t>
      </w:r>
      <w:r>
        <w:rPr>
          <w:rFonts w:ascii="Arial" w:hAnsi="Arial" w:cs="Arial"/>
          <w:bCs/>
          <w:color w:val="000000"/>
          <w:lang w:val="uk-UA"/>
        </w:rPr>
        <w:t>конверсії</w:t>
      </w:r>
      <w:r>
        <w:rPr>
          <w:rFonts w:ascii="Arial" w:hAnsi="Arial" w:cs="Arial"/>
          <w:bCs/>
          <w:color w:val="000000"/>
        </w:rPr>
        <w:t xml:space="preserve"> культури більше</w:t>
      </w:r>
      <w:r w:rsidRPr="00D920E7">
        <w:rPr>
          <w:rFonts w:ascii="Arial" w:hAnsi="Arial" w:cs="Arial"/>
          <w:bCs/>
          <w:color w:val="000000"/>
        </w:rPr>
        <w:t xml:space="preserve"> 24 тижнів.</w:t>
      </w:r>
    </w:p>
    <w:p w14:paraId="74D567B9" w14:textId="77777777" w:rsidR="007E08F5" w:rsidRPr="00A81BDF" w:rsidRDefault="007E08F5" w:rsidP="007E08F5">
      <w:pPr>
        <w:autoSpaceDE w:val="0"/>
        <w:autoSpaceDN w:val="0"/>
        <w:adjustRightInd w:val="0"/>
        <w:spacing w:after="0" w:line="240" w:lineRule="auto"/>
        <w:jc w:val="both"/>
        <w:rPr>
          <w:rFonts w:ascii="Arial" w:hAnsi="Arial" w:cs="Arial"/>
          <w:bCs/>
          <w:color w:val="000000"/>
        </w:rPr>
      </w:pPr>
      <w:r w:rsidRPr="00A81BDF">
        <w:rPr>
          <w:rFonts w:ascii="Arial" w:hAnsi="Arial" w:cs="Arial"/>
          <w:bCs/>
          <w:color w:val="000000"/>
        </w:rPr>
        <w:t xml:space="preserve">5. </w:t>
      </w:r>
      <w:r>
        <w:rPr>
          <w:rFonts w:ascii="Arial" w:hAnsi="Arial" w:cs="Arial"/>
          <w:bCs/>
          <w:color w:val="000000"/>
          <w:lang w:val="uk-UA"/>
        </w:rPr>
        <w:t xml:space="preserve"> </w:t>
      </w:r>
      <w:r w:rsidRPr="00A81BDF">
        <w:rPr>
          <w:rFonts w:ascii="Arial" w:hAnsi="Arial" w:cs="Arial"/>
          <w:bCs/>
          <w:color w:val="000000"/>
        </w:rPr>
        <w:t>Конверсія культури на 24</w:t>
      </w:r>
      <w:r>
        <w:rPr>
          <w:rFonts w:ascii="Arial" w:hAnsi="Arial" w:cs="Arial"/>
          <w:bCs/>
          <w:color w:val="000000"/>
          <w:lang w:val="uk-UA"/>
        </w:rPr>
        <w:t>-му</w:t>
      </w:r>
      <w:r w:rsidRPr="00A81BDF">
        <w:rPr>
          <w:rFonts w:ascii="Arial" w:hAnsi="Arial" w:cs="Arial"/>
          <w:bCs/>
          <w:color w:val="000000"/>
        </w:rPr>
        <w:t xml:space="preserve"> тижні.</w:t>
      </w:r>
    </w:p>
    <w:p w14:paraId="39F9077D" w14:textId="77777777" w:rsidR="007E08F5" w:rsidRPr="00A81BDF" w:rsidRDefault="007E08F5" w:rsidP="007E08F5">
      <w:pPr>
        <w:autoSpaceDE w:val="0"/>
        <w:autoSpaceDN w:val="0"/>
        <w:adjustRightInd w:val="0"/>
        <w:spacing w:after="0" w:line="240" w:lineRule="auto"/>
        <w:rPr>
          <w:rFonts w:ascii="Arial" w:hAnsi="Arial" w:cs="Arial"/>
          <w:bCs/>
          <w:color w:val="000000"/>
        </w:rPr>
      </w:pPr>
      <w:r>
        <w:rPr>
          <w:rFonts w:ascii="Arial" w:hAnsi="Arial" w:cs="Arial"/>
          <w:bCs/>
          <w:color w:val="000000"/>
        </w:rPr>
        <w:t>6.</w:t>
      </w:r>
      <w:r>
        <w:rPr>
          <w:rFonts w:ascii="Arial" w:hAnsi="Arial" w:cs="Arial"/>
          <w:bCs/>
          <w:color w:val="000000"/>
          <w:lang w:val="uk-UA"/>
        </w:rPr>
        <w:t xml:space="preserve">  </w:t>
      </w:r>
      <w:r w:rsidRPr="00A81BDF">
        <w:rPr>
          <w:rFonts w:ascii="Arial" w:hAnsi="Arial" w:cs="Arial"/>
          <w:bCs/>
          <w:color w:val="000000"/>
        </w:rPr>
        <w:t>Набута стійк</w:t>
      </w:r>
      <w:r>
        <w:rPr>
          <w:rFonts w:ascii="Arial" w:hAnsi="Arial" w:cs="Arial"/>
          <w:bCs/>
          <w:color w:val="000000"/>
        </w:rPr>
        <w:t xml:space="preserve">ість до препаратів другого ряду </w:t>
      </w:r>
      <w:r w:rsidRPr="00A81BDF">
        <w:rPr>
          <w:rFonts w:ascii="Arial" w:hAnsi="Arial" w:cs="Arial"/>
          <w:bCs/>
          <w:color w:val="000000"/>
        </w:rPr>
        <w:t xml:space="preserve">(фторхінолони, аміноглікозиди та капреоміцин) через 72 </w:t>
      </w:r>
      <w:r w:rsidRPr="000F7574">
        <w:rPr>
          <w:rFonts w:ascii="Arial" w:hAnsi="Arial" w:cs="Arial"/>
          <w:bCs/>
          <w:color w:val="000000"/>
        </w:rPr>
        <w:t>тижні.</w:t>
      </w:r>
    </w:p>
    <w:p w14:paraId="2EA13D03" w14:textId="2141CC21" w:rsidR="00E568A1" w:rsidRPr="00337569" w:rsidRDefault="00E568A1" w:rsidP="007E08F5">
      <w:pPr>
        <w:autoSpaceDE w:val="0"/>
        <w:autoSpaceDN w:val="0"/>
        <w:adjustRightInd w:val="0"/>
        <w:spacing w:after="0" w:line="240" w:lineRule="auto"/>
        <w:jc w:val="both"/>
        <w:rPr>
          <w:rFonts w:ascii="Arial" w:hAnsi="Arial" w:cs="Arial"/>
          <w:color w:val="000000"/>
          <w:lang w:val="uk-UA"/>
        </w:rPr>
      </w:pPr>
    </w:p>
    <w:p w14:paraId="7AAE5961" w14:textId="003D7547" w:rsidR="00E568A1" w:rsidRDefault="00E568A1" w:rsidP="0065008E">
      <w:pPr>
        <w:autoSpaceDE w:val="0"/>
        <w:autoSpaceDN w:val="0"/>
        <w:adjustRightInd w:val="0"/>
        <w:spacing w:after="0" w:line="240" w:lineRule="auto"/>
        <w:jc w:val="both"/>
        <w:rPr>
          <w:rFonts w:ascii="Arial" w:hAnsi="Arial" w:cs="Arial"/>
          <w:color w:val="000000"/>
        </w:rPr>
      </w:pPr>
      <w:r w:rsidRPr="0065008E">
        <w:rPr>
          <w:rFonts w:ascii="Arial" w:hAnsi="Arial" w:cs="Arial"/>
          <w:color w:val="000000"/>
        </w:rPr>
        <w:t xml:space="preserve">На першому етапі експерти оцінили </w:t>
      </w:r>
      <w:r w:rsidR="007E08F5">
        <w:rPr>
          <w:rFonts w:ascii="Arial" w:hAnsi="Arial" w:cs="Arial"/>
          <w:b/>
          <w:color w:val="000000"/>
        </w:rPr>
        <w:t xml:space="preserve">якість </w:t>
      </w:r>
      <w:r w:rsidRPr="007E08F5">
        <w:rPr>
          <w:rFonts w:ascii="Arial" w:hAnsi="Arial" w:cs="Arial"/>
          <w:b/>
          <w:color w:val="000000"/>
        </w:rPr>
        <w:t>доказів</w:t>
      </w:r>
      <w:r w:rsidRPr="0065008E">
        <w:rPr>
          <w:rFonts w:ascii="Arial" w:hAnsi="Arial" w:cs="Arial"/>
          <w:color w:val="000000"/>
        </w:rPr>
        <w:t xml:space="preserve"> для кожного з перерахованих вище результатів за наступними критеріями:</w:t>
      </w:r>
    </w:p>
    <w:p w14:paraId="0DA7CE69" w14:textId="77777777" w:rsidR="00FA08E5" w:rsidRPr="00FA08E5" w:rsidRDefault="00FA08E5" w:rsidP="0065008E">
      <w:pPr>
        <w:autoSpaceDE w:val="0"/>
        <w:autoSpaceDN w:val="0"/>
        <w:adjustRightInd w:val="0"/>
        <w:spacing w:after="0" w:line="240" w:lineRule="auto"/>
        <w:jc w:val="both"/>
        <w:rPr>
          <w:rFonts w:ascii="Arial" w:hAnsi="Arial" w:cs="Arial"/>
          <w:color w:val="000000"/>
          <w:sz w:val="14"/>
          <w:szCs w:val="14"/>
        </w:rPr>
      </w:pPr>
    </w:p>
    <w:p w14:paraId="79A64278" w14:textId="2EF1AF84" w:rsidR="00E568A1" w:rsidRPr="0065008E" w:rsidRDefault="003874CD" w:rsidP="0065008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Формат </w:t>
      </w:r>
      <w:r w:rsidR="00E568A1" w:rsidRPr="0065008E">
        <w:rPr>
          <w:rFonts w:ascii="Arial" w:hAnsi="Arial" w:cs="Arial"/>
          <w:color w:val="000000"/>
        </w:rPr>
        <w:t>дослідження: рандомізоване випробування, або послідовний відбір пацієнтів (спостереження), або вибір пацієнтів відповідно до даного референс-стандарту (випадок-контроль).</w:t>
      </w:r>
    </w:p>
    <w:p w14:paraId="7A50FBDD" w14:textId="448DBBB2" w:rsidR="00E568A1" w:rsidRPr="0065008E" w:rsidRDefault="007E08F5" w:rsidP="0065008E">
      <w:pPr>
        <w:autoSpaceDE w:val="0"/>
        <w:autoSpaceDN w:val="0"/>
        <w:adjustRightInd w:val="0"/>
        <w:spacing w:after="0" w:line="240" w:lineRule="auto"/>
        <w:jc w:val="both"/>
        <w:rPr>
          <w:rFonts w:ascii="Arial" w:hAnsi="Arial" w:cs="Arial"/>
          <w:color w:val="000000"/>
        </w:rPr>
      </w:pPr>
      <w:r>
        <w:rPr>
          <w:rFonts w:ascii="Arial" w:hAnsi="Arial" w:cs="Arial"/>
          <w:color w:val="000000"/>
        </w:rPr>
        <w:t>• Ризик помилок</w:t>
      </w:r>
      <w:r w:rsidR="00E568A1" w:rsidRPr="0065008E">
        <w:rPr>
          <w:rFonts w:ascii="Arial" w:hAnsi="Arial" w:cs="Arial"/>
          <w:color w:val="000000"/>
        </w:rPr>
        <w:t xml:space="preserve"> або обмеження при розробці та виконанні досліджень.</w:t>
      </w:r>
    </w:p>
    <w:p w14:paraId="0FDB3A4F" w14:textId="4ABFD9DD" w:rsidR="00E568A1" w:rsidRPr="0065008E" w:rsidRDefault="00E568A1" w:rsidP="0065008E">
      <w:pPr>
        <w:autoSpaceDE w:val="0"/>
        <w:autoSpaceDN w:val="0"/>
        <w:adjustRightInd w:val="0"/>
        <w:spacing w:after="0" w:line="240" w:lineRule="auto"/>
        <w:jc w:val="both"/>
        <w:rPr>
          <w:rFonts w:ascii="Arial" w:hAnsi="Arial" w:cs="Arial"/>
          <w:color w:val="000000"/>
        </w:rPr>
      </w:pPr>
      <w:r w:rsidRPr="0065008E">
        <w:rPr>
          <w:rFonts w:ascii="Arial" w:hAnsi="Arial" w:cs="Arial"/>
          <w:color w:val="000000"/>
        </w:rPr>
        <w:t>• Невідповідність: нез'ясована непослідовніс</w:t>
      </w:r>
      <w:r w:rsidR="00C54C9F">
        <w:rPr>
          <w:rFonts w:ascii="Arial" w:hAnsi="Arial" w:cs="Arial"/>
          <w:color w:val="000000"/>
        </w:rPr>
        <w:t>ть оцінки кінцевих результатах дослідження</w:t>
      </w:r>
      <w:r w:rsidRPr="0065008E">
        <w:rPr>
          <w:rFonts w:ascii="Arial" w:hAnsi="Arial" w:cs="Arial"/>
          <w:color w:val="000000"/>
        </w:rPr>
        <w:t>.</w:t>
      </w:r>
    </w:p>
    <w:p w14:paraId="6858A743" w14:textId="77777777" w:rsidR="00E568A1" w:rsidRPr="0065008E" w:rsidRDefault="00E568A1" w:rsidP="0065008E">
      <w:pPr>
        <w:autoSpaceDE w:val="0"/>
        <w:autoSpaceDN w:val="0"/>
        <w:adjustRightInd w:val="0"/>
        <w:spacing w:after="0" w:line="240" w:lineRule="auto"/>
        <w:jc w:val="both"/>
        <w:rPr>
          <w:rFonts w:ascii="Arial" w:hAnsi="Arial" w:cs="Arial"/>
          <w:color w:val="000000"/>
        </w:rPr>
      </w:pPr>
      <w:r w:rsidRPr="0065008E">
        <w:rPr>
          <w:rFonts w:ascii="Arial" w:hAnsi="Arial" w:cs="Arial"/>
          <w:color w:val="000000"/>
        </w:rPr>
        <w:t>• Опосередкованість: відсутність прямих доказів впливу на важливі для пацієнта результати та узагальнення.</w:t>
      </w:r>
    </w:p>
    <w:p w14:paraId="2C15A8E1" w14:textId="77777777" w:rsidR="00E568A1" w:rsidRPr="0065008E" w:rsidRDefault="00E568A1" w:rsidP="0065008E">
      <w:pPr>
        <w:autoSpaceDE w:val="0"/>
        <w:autoSpaceDN w:val="0"/>
        <w:adjustRightInd w:val="0"/>
        <w:spacing w:after="0" w:line="240" w:lineRule="auto"/>
        <w:jc w:val="both"/>
        <w:rPr>
          <w:rFonts w:ascii="Arial" w:hAnsi="Arial" w:cs="Arial"/>
          <w:color w:val="000000"/>
        </w:rPr>
      </w:pPr>
      <w:r w:rsidRPr="0065008E">
        <w:rPr>
          <w:rFonts w:ascii="Arial" w:hAnsi="Arial" w:cs="Arial"/>
          <w:color w:val="000000"/>
        </w:rPr>
        <w:t>• Неточність: широкі довірчі інтервали для оцінки результатів лікування.</w:t>
      </w:r>
    </w:p>
    <w:p w14:paraId="55FC9D06" w14:textId="1F35C48D" w:rsidR="00E568A1" w:rsidRDefault="003874CD" w:rsidP="0065008E">
      <w:pPr>
        <w:autoSpaceDE w:val="0"/>
        <w:autoSpaceDN w:val="0"/>
        <w:adjustRightInd w:val="0"/>
        <w:spacing w:after="0" w:line="240" w:lineRule="auto"/>
        <w:jc w:val="both"/>
        <w:rPr>
          <w:rFonts w:ascii="Arial" w:hAnsi="Arial" w:cs="Arial"/>
          <w:color w:val="000000"/>
          <w:lang w:val="uk-UA"/>
        </w:rPr>
      </w:pPr>
      <w:r>
        <w:rPr>
          <w:rFonts w:ascii="Arial" w:hAnsi="Arial" w:cs="Arial"/>
          <w:color w:val="000000"/>
        </w:rPr>
        <w:t>• Інші міркування: можливість помилок у</w:t>
      </w:r>
      <w:r w:rsidR="00E568A1" w:rsidRPr="0065008E">
        <w:rPr>
          <w:rFonts w:ascii="Arial" w:hAnsi="Arial" w:cs="Arial"/>
          <w:color w:val="000000"/>
        </w:rPr>
        <w:t xml:space="preserve"> публікації тощо.</w:t>
      </w:r>
    </w:p>
    <w:p w14:paraId="5720CE7D" w14:textId="77777777" w:rsidR="00E568A1" w:rsidRPr="0065008E" w:rsidRDefault="00E568A1" w:rsidP="0065008E">
      <w:pPr>
        <w:autoSpaceDE w:val="0"/>
        <w:autoSpaceDN w:val="0"/>
        <w:adjustRightInd w:val="0"/>
        <w:spacing w:after="0" w:line="240" w:lineRule="auto"/>
        <w:jc w:val="both"/>
        <w:rPr>
          <w:rFonts w:ascii="Arial" w:hAnsi="Arial" w:cs="Arial"/>
          <w:color w:val="000000"/>
          <w:lang w:val="uk-UA"/>
        </w:rPr>
      </w:pPr>
    </w:p>
    <w:p w14:paraId="209E6D0D" w14:textId="77777777" w:rsidR="00E568A1" w:rsidRDefault="00E568A1" w:rsidP="009B51D9">
      <w:pPr>
        <w:autoSpaceDE w:val="0"/>
        <w:autoSpaceDN w:val="0"/>
        <w:adjustRightInd w:val="0"/>
        <w:spacing w:after="0" w:line="240" w:lineRule="auto"/>
        <w:jc w:val="both"/>
        <w:outlineLvl w:val="0"/>
        <w:rPr>
          <w:rFonts w:ascii="Arial" w:hAnsi="Arial" w:cs="Arial"/>
          <w:color w:val="000000"/>
          <w:lang w:val="uk-UA"/>
        </w:rPr>
      </w:pPr>
      <w:r w:rsidRPr="0065008E">
        <w:rPr>
          <w:rFonts w:ascii="Arial" w:hAnsi="Arial" w:cs="Arial"/>
          <w:color w:val="000000"/>
        </w:rPr>
        <w:t xml:space="preserve">Глосарій використаних </w:t>
      </w:r>
      <w:r w:rsidRPr="0065008E">
        <w:rPr>
          <w:rFonts w:ascii="Arial" w:hAnsi="Arial" w:cs="Arial"/>
          <w:color w:val="000000"/>
          <w:lang w:val="en-US"/>
        </w:rPr>
        <w:t>GRADE</w:t>
      </w:r>
      <w:r w:rsidR="00006C1C">
        <w:rPr>
          <w:rFonts w:ascii="Arial" w:hAnsi="Arial" w:cs="Arial"/>
          <w:color w:val="000000"/>
        </w:rPr>
        <w:t xml:space="preserve"> термінів </w:t>
      </w:r>
      <w:r w:rsidRPr="0065008E">
        <w:rPr>
          <w:rFonts w:ascii="Arial" w:hAnsi="Arial" w:cs="Arial"/>
          <w:color w:val="000000"/>
        </w:rPr>
        <w:t>можна знайти у Додатку 5.</w:t>
      </w:r>
    </w:p>
    <w:p w14:paraId="78CA44D1" w14:textId="77777777" w:rsidR="00E568A1" w:rsidRPr="0065008E" w:rsidRDefault="00E568A1" w:rsidP="0037724F">
      <w:pPr>
        <w:autoSpaceDE w:val="0"/>
        <w:autoSpaceDN w:val="0"/>
        <w:adjustRightInd w:val="0"/>
        <w:spacing w:after="0" w:line="240" w:lineRule="auto"/>
        <w:jc w:val="both"/>
        <w:rPr>
          <w:rFonts w:ascii="Arial" w:hAnsi="Arial" w:cs="Arial"/>
          <w:color w:val="000000"/>
          <w:lang w:val="uk-UA"/>
        </w:rPr>
      </w:pPr>
    </w:p>
    <w:p w14:paraId="02BEEF81" w14:textId="7B4C0D5F" w:rsidR="00E568A1" w:rsidRDefault="00E568A1" w:rsidP="0037724F">
      <w:pPr>
        <w:autoSpaceDE w:val="0"/>
        <w:autoSpaceDN w:val="0"/>
        <w:adjustRightInd w:val="0"/>
        <w:spacing w:after="0" w:line="240" w:lineRule="auto"/>
        <w:jc w:val="both"/>
        <w:rPr>
          <w:rFonts w:ascii="Arial" w:hAnsi="Arial" w:cs="Arial"/>
          <w:bCs/>
          <w:color w:val="000000"/>
          <w:lang w:val="uk-UA"/>
        </w:rPr>
      </w:pPr>
      <w:r w:rsidRPr="00FA08E5">
        <w:rPr>
          <w:rFonts w:ascii="Arial" w:hAnsi="Arial" w:cs="Arial"/>
          <w:bCs/>
          <w:color w:val="000000"/>
          <w:lang w:val="uk-UA"/>
        </w:rPr>
        <w:t xml:space="preserve">На другому етапі, як того вимагає </w:t>
      </w:r>
      <w:r w:rsidRPr="00CC605A">
        <w:rPr>
          <w:rFonts w:ascii="Arial" w:hAnsi="Arial" w:cs="Arial"/>
          <w:bCs/>
          <w:color w:val="000000"/>
          <w:lang w:val="en-US"/>
        </w:rPr>
        <w:t>GRADE</w:t>
      </w:r>
      <w:r w:rsidRPr="00FA08E5">
        <w:rPr>
          <w:rFonts w:ascii="Arial" w:hAnsi="Arial" w:cs="Arial"/>
          <w:bCs/>
          <w:color w:val="000000"/>
          <w:lang w:val="uk-UA"/>
        </w:rPr>
        <w:t xml:space="preserve">, та на підставі </w:t>
      </w:r>
      <w:r w:rsidR="003874CD">
        <w:rPr>
          <w:rFonts w:ascii="Arial" w:hAnsi="Arial" w:cs="Arial"/>
          <w:bCs/>
          <w:color w:val="000000"/>
          <w:lang w:val="uk-UA"/>
        </w:rPr>
        <w:t>питань</w:t>
      </w:r>
      <w:r w:rsidR="003874CD" w:rsidRPr="00CC605A">
        <w:rPr>
          <w:rFonts w:ascii="Arial" w:hAnsi="Arial" w:cs="Arial"/>
          <w:bCs/>
          <w:color w:val="000000"/>
          <w:lang w:val="en-US"/>
        </w:rPr>
        <w:t xml:space="preserve"> </w:t>
      </w:r>
      <w:r w:rsidRPr="00CC605A">
        <w:rPr>
          <w:rFonts w:ascii="Arial" w:hAnsi="Arial" w:cs="Arial"/>
          <w:bCs/>
          <w:color w:val="000000"/>
          <w:lang w:val="en-US"/>
        </w:rPr>
        <w:t>PICO</w:t>
      </w:r>
      <w:r w:rsidRPr="00FA08E5">
        <w:rPr>
          <w:rFonts w:ascii="Arial" w:hAnsi="Arial" w:cs="Arial"/>
          <w:bCs/>
          <w:color w:val="000000"/>
          <w:lang w:val="uk-UA"/>
        </w:rPr>
        <w:t xml:space="preserve">, ЕГ розробила </w:t>
      </w:r>
      <w:r w:rsidRPr="00FA08E5">
        <w:rPr>
          <w:rFonts w:ascii="Arial" w:hAnsi="Arial" w:cs="Arial"/>
          <w:b/>
          <w:bCs/>
          <w:color w:val="000000"/>
          <w:lang w:val="uk-UA"/>
        </w:rPr>
        <w:t xml:space="preserve">рекомендацію </w:t>
      </w:r>
      <w:r w:rsidR="003874CD">
        <w:rPr>
          <w:rFonts w:ascii="Arial" w:hAnsi="Arial" w:cs="Arial"/>
          <w:bCs/>
          <w:color w:val="000000"/>
          <w:lang w:val="uk-UA"/>
        </w:rPr>
        <w:t>та розглянула її силу</w:t>
      </w:r>
      <w:r w:rsidRPr="00FA08E5">
        <w:rPr>
          <w:rFonts w:ascii="Arial" w:hAnsi="Arial" w:cs="Arial"/>
          <w:bCs/>
          <w:color w:val="000000"/>
          <w:lang w:val="uk-UA"/>
        </w:rPr>
        <w:t xml:space="preserve"> (серйозна чи умовна), базуючись на балансі</w:t>
      </w:r>
      <w:r w:rsidR="003874CD">
        <w:rPr>
          <w:rFonts w:ascii="Arial" w:hAnsi="Arial" w:cs="Arial"/>
          <w:bCs/>
          <w:color w:val="000000"/>
          <w:lang w:val="uk-UA"/>
        </w:rPr>
        <w:t xml:space="preserve"> ефектів (співвідношення користі та шкоди),  </w:t>
      </w:r>
      <w:r w:rsidR="00124A69">
        <w:rPr>
          <w:rFonts w:ascii="Arial" w:hAnsi="Arial" w:cs="Arial"/>
          <w:bCs/>
          <w:color w:val="000000"/>
          <w:lang w:val="uk-UA"/>
        </w:rPr>
        <w:t xml:space="preserve">переваг для </w:t>
      </w:r>
      <w:r w:rsidRPr="00FA08E5">
        <w:rPr>
          <w:rFonts w:ascii="Arial" w:hAnsi="Arial" w:cs="Arial"/>
          <w:bCs/>
          <w:color w:val="000000"/>
          <w:lang w:val="uk-UA"/>
        </w:rPr>
        <w:t>паці</w:t>
      </w:r>
      <w:r w:rsidR="003874CD">
        <w:rPr>
          <w:rFonts w:ascii="Arial" w:hAnsi="Arial" w:cs="Arial"/>
          <w:bCs/>
          <w:color w:val="000000"/>
          <w:lang w:val="uk-UA"/>
        </w:rPr>
        <w:t>єнта</w:t>
      </w:r>
      <w:r w:rsidR="00124A69">
        <w:rPr>
          <w:rFonts w:ascii="Arial" w:hAnsi="Arial" w:cs="Arial"/>
          <w:bCs/>
          <w:color w:val="000000"/>
          <w:lang w:val="uk-UA"/>
        </w:rPr>
        <w:t xml:space="preserve"> та того</w:t>
      </w:r>
      <w:r w:rsidR="003874CD">
        <w:rPr>
          <w:rFonts w:ascii="Arial" w:hAnsi="Arial" w:cs="Arial"/>
          <w:bCs/>
          <w:color w:val="000000"/>
          <w:lang w:val="uk-UA"/>
        </w:rPr>
        <w:t>,</w:t>
      </w:r>
      <w:r w:rsidR="00124A69">
        <w:rPr>
          <w:rFonts w:ascii="Arial" w:hAnsi="Arial" w:cs="Arial"/>
          <w:bCs/>
          <w:color w:val="000000"/>
          <w:lang w:val="uk-UA"/>
        </w:rPr>
        <w:t xml:space="preserve"> що для нього важливо;</w:t>
      </w:r>
      <w:r w:rsidR="003874CD">
        <w:rPr>
          <w:rFonts w:ascii="Arial" w:hAnsi="Arial" w:cs="Arial"/>
          <w:bCs/>
          <w:color w:val="000000"/>
          <w:lang w:val="uk-UA"/>
        </w:rPr>
        <w:t xml:space="preserve"> ресурсів та рівності</w:t>
      </w:r>
      <w:r w:rsidRPr="00FA08E5">
        <w:rPr>
          <w:rFonts w:ascii="Arial" w:hAnsi="Arial" w:cs="Arial"/>
          <w:bCs/>
          <w:color w:val="000000"/>
          <w:lang w:val="uk-UA"/>
        </w:rPr>
        <w:t>.</w:t>
      </w:r>
      <w:r>
        <w:rPr>
          <w:rFonts w:ascii="Arial" w:hAnsi="Arial" w:cs="Arial"/>
          <w:bCs/>
          <w:color w:val="000000"/>
          <w:lang w:val="uk-UA"/>
        </w:rPr>
        <w:t xml:space="preserve"> </w:t>
      </w:r>
      <w:r w:rsidRPr="004067A6">
        <w:rPr>
          <w:rFonts w:ascii="Arial" w:hAnsi="Arial" w:cs="Arial"/>
          <w:bCs/>
          <w:color w:val="000000"/>
          <w:lang w:val="uk-UA"/>
        </w:rPr>
        <w:t>Система, яка використовувалась для визначення ефективності та рейтингу рекомендацій, включала оцінку кожного втручання на основі: (1) бажаних та небажаних ефектів; (2) яко</w:t>
      </w:r>
      <w:r w:rsidR="00124A69">
        <w:rPr>
          <w:rFonts w:ascii="Arial" w:hAnsi="Arial" w:cs="Arial"/>
          <w:bCs/>
          <w:color w:val="000000"/>
          <w:lang w:val="uk-UA"/>
        </w:rPr>
        <w:t>сті наявних доказів; (3) необхідності/важливості</w:t>
      </w:r>
      <w:r w:rsidRPr="004067A6">
        <w:rPr>
          <w:rFonts w:ascii="Arial" w:hAnsi="Arial" w:cs="Arial"/>
          <w:bCs/>
          <w:color w:val="000000"/>
          <w:lang w:val="uk-UA"/>
        </w:rPr>
        <w:t xml:space="preserve"> та п</w:t>
      </w:r>
      <w:r w:rsidR="00EE3B6D">
        <w:rPr>
          <w:rFonts w:ascii="Arial" w:hAnsi="Arial" w:cs="Arial"/>
          <w:bCs/>
          <w:color w:val="000000"/>
          <w:lang w:val="uk-UA"/>
        </w:rPr>
        <w:t>ереваг, пов'язаних з інтервенцією на різних сайтах/</w:t>
      </w:r>
      <w:r w:rsidR="00EE3B6D" w:rsidRPr="00EE3B6D">
        <w:rPr>
          <w:rFonts w:ascii="Arial" w:hAnsi="Arial" w:cs="Arial"/>
          <w:bCs/>
          <w:color w:val="000000"/>
          <w:lang w:val="uk-UA"/>
        </w:rPr>
        <w:t xml:space="preserve"> </w:t>
      </w:r>
      <w:r w:rsidR="00EE3B6D">
        <w:rPr>
          <w:rFonts w:ascii="Arial" w:hAnsi="Arial" w:cs="Arial"/>
          <w:bCs/>
          <w:color w:val="000000"/>
          <w:lang w:val="uk-UA"/>
        </w:rPr>
        <w:t>місцевостях</w:t>
      </w:r>
      <w:r w:rsidRPr="004067A6">
        <w:rPr>
          <w:rFonts w:ascii="Arial" w:hAnsi="Arial" w:cs="Arial"/>
          <w:bCs/>
          <w:color w:val="000000"/>
          <w:lang w:val="uk-UA"/>
        </w:rPr>
        <w:t xml:space="preserve">; та (4) </w:t>
      </w:r>
      <w:r w:rsidR="00EE3B6D">
        <w:rPr>
          <w:rFonts w:ascii="Arial" w:hAnsi="Arial" w:cs="Arial"/>
          <w:bCs/>
          <w:color w:val="000000"/>
          <w:lang w:val="uk-UA"/>
        </w:rPr>
        <w:t>варіанти витратної частини</w:t>
      </w:r>
      <w:r w:rsidRPr="004067A6">
        <w:rPr>
          <w:rFonts w:ascii="Arial" w:hAnsi="Arial" w:cs="Arial"/>
          <w:bCs/>
          <w:color w:val="000000"/>
          <w:lang w:val="uk-UA"/>
        </w:rPr>
        <w:t xml:space="preserve"> для рі</w:t>
      </w:r>
      <w:r w:rsidR="00EE3B6D">
        <w:rPr>
          <w:rFonts w:ascii="Arial" w:hAnsi="Arial" w:cs="Arial"/>
          <w:bCs/>
          <w:color w:val="000000"/>
          <w:lang w:val="uk-UA"/>
        </w:rPr>
        <w:t>зних епідеміологічних місцевостей</w:t>
      </w:r>
      <w:r w:rsidRPr="004067A6">
        <w:rPr>
          <w:rFonts w:ascii="Arial" w:hAnsi="Arial" w:cs="Arial"/>
          <w:bCs/>
          <w:color w:val="000000"/>
          <w:lang w:val="uk-UA"/>
        </w:rPr>
        <w:t>.</w:t>
      </w:r>
    </w:p>
    <w:p w14:paraId="00F02FAB"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19615285"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45A76FEA"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437D40CE"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372C0A6F"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4941C5BF" w14:textId="77777777" w:rsidR="00EE3B6D" w:rsidRDefault="00EE3B6D" w:rsidP="0037724F">
      <w:pPr>
        <w:autoSpaceDE w:val="0"/>
        <w:autoSpaceDN w:val="0"/>
        <w:adjustRightInd w:val="0"/>
        <w:spacing w:after="0" w:line="240" w:lineRule="auto"/>
        <w:jc w:val="both"/>
        <w:rPr>
          <w:rFonts w:ascii="Arial" w:hAnsi="Arial" w:cs="Arial"/>
          <w:bCs/>
          <w:color w:val="000000"/>
          <w:lang w:val="uk-UA"/>
        </w:rPr>
      </w:pPr>
    </w:p>
    <w:p w14:paraId="68F98749" w14:textId="77777777" w:rsidR="007E2145" w:rsidRDefault="007E2145" w:rsidP="0037724F">
      <w:pPr>
        <w:autoSpaceDE w:val="0"/>
        <w:autoSpaceDN w:val="0"/>
        <w:adjustRightInd w:val="0"/>
        <w:spacing w:after="0" w:line="240" w:lineRule="auto"/>
        <w:jc w:val="both"/>
        <w:rPr>
          <w:rFonts w:ascii="Arial" w:hAnsi="Arial" w:cs="Arial"/>
          <w:bCs/>
          <w:color w:val="000000"/>
          <w:lang w:val="uk-UA"/>
        </w:rPr>
      </w:pPr>
    </w:p>
    <w:p w14:paraId="71F6D8CA" w14:textId="77777777" w:rsidR="00E568A1" w:rsidRDefault="00E568A1" w:rsidP="0037724F">
      <w:pPr>
        <w:autoSpaceDE w:val="0"/>
        <w:autoSpaceDN w:val="0"/>
        <w:adjustRightInd w:val="0"/>
        <w:spacing w:after="0" w:line="240" w:lineRule="auto"/>
        <w:jc w:val="both"/>
        <w:rPr>
          <w:rFonts w:ascii="Arial" w:hAnsi="Arial" w:cs="Arial"/>
          <w:bCs/>
          <w:color w:val="000000"/>
          <w:lang w:val="uk-UA"/>
        </w:rPr>
      </w:pPr>
    </w:p>
    <w:p w14:paraId="4FC43D1A" w14:textId="77777777" w:rsidR="005A59B9" w:rsidRDefault="005A59B9" w:rsidP="0037724F">
      <w:pPr>
        <w:autoSpaceDE w:val="0"/>
        <w:autoSpaceDN w:val="0"/>
        <w:adjustRightInd w:val="0"/>
        <w:spacing w:after="0" w:line="240" w:lineRule="auto"/>
        <w:jc w:val="both"/>
        <w:rPr>
          <w:rFonts w:ascii="Arial" w:hAnsi="Arial" w:cs="Arial"/>
          <w:bCs/>
          <w:color w:val="000000"/>
          <w:lang w:val="uk-UA"/>
        </w:rPr>
      </w:pPr>
    </w:p>
    <w:p w14:paraId="25E7AEAE" w14:textId="77777777" w:rsidR="00FA08E5" w:rsidRDefault="00FA08E5" w:rsidP="0037724F">
      <w:pPr>
        <w:autoSpaceDE w:val="0"/>
        <w:autoSpaceDN w:val="0"/>
        <w:adjustRightInd w:val="0"/>
        <w:spacing w:after="0" w:line="240" w:lineRule="auto"/>
        <w:jc w:val="both"/>
        <w:rPr>
          <w:rFonts w:ascii="Arial" w:hAnsi="Arial" w:cs="Arial"/>
          <w:bCs/>
          <w:color w:val="000000"/>
          <w:lang w:val="uk-UA"/>
        </w:rPr>
      </w:pPr>
      <w:r>
        <w:rPr>
          <w:rFonts w:ascii="Arial" w:hAnsi="Arial" w:cs="Arial"/>
          <w:bCs/>
          <w:color w:val="000000"/>
          <w:lang w:val="uk-UA"/>
        </w:rPr>
        <w:t>____________________________</w:t>
      </w:r>
    </w:p>
    <w:p w14:paraId="442505FA" w14:textId="77777777" w:rsidR="00FA08E5" w:rsidRDefault="00FA08E5" w:rsidP="0037724F">
      <w:pPr>
        <w:autoSpaceDE w:val="0"/>
        <w:autoSpaceDN w:val="0"/>
        <w:adjustRightInd w:val="0"/>
        <w:spacing w:after="0" w:line="240" w:lineRule="auto"/>
        <w:jc w:val="both"/>
        <w:rPr>
          <w:rFonts w:ascii="Arial" w:hAnsi="Arial" w:cs="Arial"/>
          <w:bCs/>
          <w:color w:val="000000"/>
          <w:lang w:val="uk-UA"/>
        </w:rPr>
      </w:pPr>
    </w:p>
    <w:p w14:paraId="5B632D92" w14:textId="77777777" w:rsidR="00FA08E5" w:rsidRDefault="00FA08E5" w:rsidP="0037724F">
      <w:pPr>
        <w:autoSpaceDE w:val="0"/>
        <w:autoSpaceDN w:val="0"/>
        <w:adjustRightInd w:val="0"/>
        <w:spacing w:after="0" w:line="240" w:lineRule="auto"/>
        <w:jc w:val="both"/>
        <w:rPr>
          <w:rFonts w:ascii="Arial" w:hAnsi="Arial" w:cs="Arial"/>
          <w:color w:val="FFFFFF"/>
          <w:lang w:val="uk-UA"/>
        </w:rPr>
      </w:pPr>
      <w:r w:rsidRPr="007E2145">
        <w:rPr>
          <w:rFonts w:ascii="Arial" w:hAnsi="Arial" w:cs="Arial"/>
          <w:b/>
          <w:sz w:val="18"/>
          <w:szCs w:val="18"/>
          <w:vertAlign w:val="superscript"/>
          <w:lang w:val="uk-UA"/>
        </w:rPr>
        <w:t>12</w:t>
      </w:r>
      <w:r w:rsidRPr="007578B5">
        <w:rPr>
          <w:rFonts w:ascii="Arial" w:hAnsi="Arial" w:cs="Arial"/>
          <w:sz w:val="18"/>
          <w:szCs w:val="18"/>
          <w:lang w:val="uk-UA"/>
        </w:rPr>
        <w:t xml:space="preserve"> </w:t>
      </w:r>
      <w:r w:rsidRPr="007578B5">
        <w:rPr>
          <w:rFonts w:ascii="Arial" w:hAnsi="Arial" w:cs="Arial"/>
          <w:i/>
          <w:sz w:val="18"/>
          <w:szCs w:val="18"/>
          <w:lang w:val="uk-UA"/>
        </w:rPr>
        <w:t>Довідник ВООЗ з розробки рекомендацій, 2012</w:t>
      </w:r>
      <w:r w:rsidRPr="007578B5">
        <w:rPr>
          <w:rFonts w:ascii="Arial" w:hAnsi="Arial" w:cs="Arial"/>
          <w:sz w:val="18"/>
          <w:szCs w:val="18"/>
          <w:lang w:val="uk-UA"/>
        </w:rPr>
        <w:t>. Женева, Всесвітня організація охорони здоров'я, 2012 р. Доступно на сайті: http://apps.who.int</w:t>
      </w:r>
      <w:r w:rsidRPr="007578B5">
        <w:rPr>
          <w:rFonts w:ascii="Arial" w:hAnsi="Arial" w:cs="Arial"/>
          <w:color w:val="FFFFFF"/>
          <w:lang w:val="uk-UA"/>
        </w:rPr>
        <w:t>/iris/</w:t>
      </w:r>
    </w:p>
    <w:p w14:paraId="43ECD245" w14:textId="77777777" w:rsidR="001760FA" w:rsidRDefault="001760FA" w:rsidP="009B51D9">
      <w:pPr>
        <w:autoSpaceDE w:val="0"/>
        <w:autoSpaceDN w:val="0"/>
        <w:adjustRightInd w:val="0"/>
        <w:spacing w:after="0" w:line="240" w:lineRule="auto"/>
        <w:jc w:val="both"/>
        <w:outlineLvl w:val="0"/>
        <w:rPr>
          <w:rFonts w:ascii="Arial" w:hAnsi="Arial" w:cs="Arial"/>
          <w:b/>
          <w:bCs/>
          <w:color w:val="000000"/>
          <w:sz w:val="28"/>
          <w:szCs w:val="28"/>
        </w:rPr>
      </w:pPr>
    </w:p>
    <w:p w14:paraId="063BC897" w14:textId="6F4B7582" w:rsidR="00E568A1" w:rsidRPr="00EE3B6D"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EE3B6D">
        <w:rPr>
          <w:rFonts w:ascii="Arial" w:hAnsi="Arial" w:cs="Arial"/>
          <w:b/>
          <w:bCs/>
          <w:color w:val="6A2041"/>
          <w:sz w:val="28"/>
          <w:szCs w:val="28"/>
        </w:rPr>
        <w:lastRenderedPageBreak/>
        <w:t>3.4</w:t>
      </w:r>
      <w:r w:rsidR="001760FA" w:rsidRPr="00EE3B6D">
        <w:rPr>
          <w:rFonts w:ascii="Arial" w:hAnsi="Arial" w:cs="Arial"/>
          <w:b/>
          <w:bCs/>
          <w:color w:val="6A2041"/>
          <w:sz w:val="28"/>
          <w:szCs w:val="28"/>
        </w:rPr>
        <w:t>.</w:t>
      </w:r>
      <w:r w:rsidRPr="00EE3B6D">
        <w:rPr>
          <w:rFonts w:ascii="Arial" w:hAnsi="Arial" w:cs="Arial"/>
          <w:b/>
          <w:bCs/>
          <w:color w:val="6A2041"/>
          <w:sz w:val="28"/>
          <w:szCs w:val="28"/>
        </w:rPr>
        <w:t xml:space="preserve"> Прийняття рішень під час засідання Групи експертів</w:t>
      </w:r>
    </w:p>
    <w:p w14:paraId="3E8AFA4F" w14:textId="77777777" w:rsidR="00E568A1" w:rsidRPr="00B51047"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p w14:paraId="74B17E0A" w14:textId="34570DD8" w:rsidR="00E568A1" w:rsidRPr="00996895" w:rsidRDefault="00E568A1" w:rsidP="0037724F">
      <w:pPr>
        <w:autoSpaceDE w:val="0"/>
        <w:autoSpaceDN w:val="0"/>
        <w:adjustRightInd w:val="0"/>
        <w:spacing w:after="0" w:line="240" w:lineRule="auto"/>
        <w:jc w:val="both"/>
        <w:rPr>
          <w:rFonts w:ascii="Arial" w:hAnsi="Arial" w:cs="Arial"/>
          <w:color w:val="000000"/>
          <w:lang w:val="uk-UA"/>
        </w:rPr>
      </w:pPr>
      <w:r w:rsidRPr="004067A6">
        <w:rPr>
          <w:rFonts w:ascii="Arial" w:hAnsi="Arial" w:cs="Arial"/>
          <w:color w:val="000000"/>
          <w:lang w:val="uk-UA"/>
        </w:rPr>
        <w:t xml:space="preserve">Засідання ЕГ </w:t>
      </w:r>
      <w:r w:rsidR="00FA08E5">
        <w:rPr>
          <w:rFonts w:ascii="Arial" w:hAnsi="Arial" w:cs="Arial"/>
          <w:color w:val="000000"/>
          <w:lang w:val="uk-UA"/>
        </w:rPr>
        <w:t xml:space="preserve">проходило </w:t>
      </w:r>
      <w:r w:rsidRPr="004067A6">
        <w:rPr>
          <w:rFonts w:ascii="Arial" w:hAnsi="Arial" w:cs="Arial"/>
          <w:color w:val="000000"/>
          <w:lang w:val="uk-UA"/>
        </w:rPr>
        <w:t>під головуванням визнаного експерта з методологі</w:t>
      </w:r>
      <w:r w:rsidR="0024479C">
        <w:rPr>
          <w:rFonts w:ascii="Arial" w:hAnsi="Arial" w:cs="Arial"/>
          <w:color w:val="000000"/>
          <w:lang w:val="uk-UA"/>
        </w:rPr>
        <w:t>ї/</w:t>
      </w:r>
      <w:r w:rsidRPr="004067A6">
        <w:rPr>
          <w:rFonts w:ascii="Arial" w:hAnsi="Arial" w:cs="Arial"/>
          <w:color w:val="000000"/>
          <w:lang w:val="uk-UA"/>
        </w:rPr>
        <w:t xml:space="preserve">узагальнення </w:t>
      </w:r>
      <w:r w:rsidR="00FA08E5">
        <w:rPr>
          <w:rFonts w:ascii="Arial" w:hAnsi="Arial" w:cs="Arial"/>
          <w:color w:val="000000"/>
          <w:lang w:val="uk-UA"/>
        </w:rPr>
        <w:t>даних</w:t>
      </w:r>
      <w:r w:rsidRPr="004067A6">
        <w:rPr>
          <w:rFonts w:ascii="Arial" w:hAnsi="Arial" w:cs="Arial"/>
          <w:color w:val="000000"/>
          <w:lang w:val="uk-UA"/>
        </w:rPr>
        <w:t>. Рішення приймалися на основі консенсусу (пріоритетний варіант). Лише у виключних випадках, коли було неможливо досягти консенсу</w:t>
      </w:r>
      <w:r w:rsidR="0024479C">
        <w:rPr>
          <w:rFonts w:ascii="Arial" w:hAnsi="Arial" w:cs="Arial"/>
          <w:color w:val="000000"/>
          <w:lang w:val="uk-UA"/>
        </w:rPr>
        <w:t>су між членами, ЕГ проводила</w:t>
      </w:r>
      <w:r w:rsidRPr="004067A6">
        <w:rPr>
          <w:rFonts w:ascii="Arial" w:hAnsi="Arial" w:cs="Arial"/>
          <w:color w:val="000000"/>
          <w:lang w:val="uk-UA"/>
        </w:rPr>
        <w:t xml:space="preserve"> голосування (за допомогою простої більшості) -  така процедура була використана лише в одному випадку (див. стор. 27).</w:t>
      </w:r>
      <w:r>
        <w:rPr>
          <w:rFonts w:ascii="Arial" w:hAnsi="Arial" w:cs="Arial"/>
          <w:color w:val="000000"/>
          <w:lang w:val="uk-UA"/>
        </w:rPr>
        <w:t xml:space="preserve"> </w:t>
      </w:r>
      <w:r w:rsidR="00FA08E5">
        <w:rPr>
          <w:rFonts w:ascii="Arial" w:hAnsi="Arial" w:cs="Arial"/>
          <w:color w:val="000000"/>
          <w:lang w:val="uk-UA"/>
        </w:rPr>
        <w:t>Проблемні питання</w:t>
      </w:r>
      <w:r w:rsidR="0024479C">
        <w:rPr>
          <w:rFonts w:ascii="Arial" w:hAnsi="Arial" w:cs="Arial"/>
          <w:color w:val="000000"/>
          <w:lang w:val="uk-UA"/>
        </w:rPr>
        <w:t xml:space="preserve"> та думки учасників ЕГ фіксувалися та включалися</w:t>
      </w:r>
      <w:r w:rsidRPr="00996895">
        <w:rPr>
          <w:rFonts w:ascii="Arial" w:hAnsi="Arial" w:cs="Arial"/>
          <w:color w:val="000000"/>
          <w:lang w:val="uk-UA"/>
        </w:rPr>
        <w:t xml:space="preserve"> до підсумкового звіту засідання. Детальний протокол засідання був підготовлений Керівною групою Секретаріату ВООЗ</w:t>
      </w:r>
      <w:r w:rsidR="00FA08E5">
        <w:rPr>
          <w:rFonts w:ascii="Arial" w:hAnsi="Arial" w:cs="Arial"/>
          <w:color w:val="000000"/>
          <w:lang w:val="uk-UA"/>
        </w:rPr>
        <w:t>,</w:t>
      </w:r>
      <w:r w:rsidR="0024479C">
        <w:rPr>
          <w:rFonts w:ascii="Arial" w:hAnsi="Arial" w:cs="Arial"/>
          <w:color w:val="000000"/>
          <w:lang w:val="uk-UA"/>
        </w:rPr>
        <w:t xml:space="preserve"> та був проаналізований</w:t>
      </w:r>
      <w:r w:rsidRPr="00996895">
        <w:rPr>
          <w:rFonts w:ascii="Arial" w:hAnsi="Arial" w:cs="Arial"/>
          <w:color w:val="000000"/>
          <w:lang w:val="uk-UA"/>
        </w:rPr>
        <w:t xml:space="preserve"> на підставі подання та підписання всіма учасниками ЕГ.</w:t>
      </w:r>
    </w:p>
    <w:p w14:paraId="583D4190" w14:textId="77777777" w:rsidR="00E568A1" w:rsidRPr="00B51047" w:rsidRDefault="00E568A1" w:rsidP="0037724F">
      <w:pPr>
        <w:autoSpaceDE w:val="0"/>
        <w:autoSpaceDN w:val="0"/>
        <w:adjustRightInd w:val="0"/>
        <w:spacing w:after="0" w:line="240" w:lineRule="auto"/>
        <w:jc w:val="both"/>
        <w:rPr>
          <w:rFonts w:ascii="Arial" w:hAnsi="Arial" w:cs="Arial"/>
          <w:color w:val="FFFFFF"/>
          <w:sz w:val="16"/>
          <w:szCs w:val="16"/>
          <w:lang w:val="uk-UA"/>
        </w:rPr>
      </w:pPr>
      <w:r w:rsidRPr="00A60AE1">
        <w:rPr>
          <w:rFonts w:ascii="Arial" w:hAnsi="Arial" w:cs="Arial"/>
          <w:color w:val="FFFFFF"/>
          <w:lang w:val="uk-UA"/>
        </w:rPr>
        <w:t>20</w:t>
      </w:r>
    </w:p>
    <w:p w14:paraId="41091BF0" w14:textId="3CE7F144" w:rsidR="00E568A1" w:rsidRPr="00EE3B6D"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EE3B6D">
        <w:rPr>
          <w:rFonts w:ascii="Arial" w:hAnsi="Arial" w:cs="Arial"/>
          <w:b/>
          <w:bCs/>
          <w:color w:val="6A2041"/>
          <w:sz w:val="28"/>
          <w:szCs w:val="28"/>
          <w:lang w:val="uk-UA"/>
        </w:rPr>
        <w:t>3.5</w:t>
      </w:r>
      <w:r w:rsidR="001760FA" w:rsidRPr="00EE3B6D">
        <w:rPr>
          <w:rFonts w:ascii="Arial" w:hAnsi="Arial" w:cs="Arial"/>
          <w:b/>
          <w:bCs/>
          <w:color w:val="6A2041"/>
          <w:sz w:val="28"/>
          <w:szCs w:val="28"/>
          <w:lang w:val="uk-UA"/>
        </w:rPr>
        <w:t>.</w:t>
      </w:r>
      <w:r w:rsidRPr="00EE3B6D">
        <w:rPr>
          <w:rFonts w:ascii="Arial" w:hAnsi="Arial" w:cs="Arial"/>
          <w:b/>
          <w:bCs/>
          <w:color w:val="6A2041"/>
          <w:sz w:val="28"/>
          <w:szCs w:val="28"/>
          <w:lang w:val="uk-UA"/>
        </w:rPr>
        <w:t xml:space="preserve">  Зовнішня експертна оцінка</w:t>
      </w:r>
    </w:p>
    <w:p w14:paraId="15818BE0" w14:textId="77777777" w:rsidR="00E568A1" w:rsidRPr="00B51047"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25DFC101" w14:textId="3C892067" w:rsidR="00E568A1" w:rsidRPr="005C15FA" w:rsidRDefault="00FA08E5" w:rsidP="0037724F">
      <w:pPr>
        <w:autoSpaceDE w:val="0"/>
        <w:autoSpaceDN w:val="0"/>
        <w:adjustRightInd w:val="0"/>
        <w:spacing w:after="0" w:line="240" w:lineRule="auto"/>
        <w:jc w:val="both"/>
        <w:rPr>
          <w:rFonts w:ascii="Arial" w:hAnsi="Arial" w:cs="Arial"/>
          <w:bCs/>
          <w:color w:val="000000"/>
          <w:lang w:val="uk-UA"/>
        </w:rPr>
      </w:pPr>
      <w:r>
        <w:rPr>
          <w:rFonts w:ascii="Arial" w:hAnsi="Arial" w:cs="Arial"/>
          <w:bCs/>
          <w:color w:val="000000"/>
          <w:lang w:val="uk-UA"/>
        </w:rPr>
        <w:t>Група зовнішніх експертів</w:t>
      </w:r>
      <w:r w:rsidR="00531E01">
        <w:rPr>
          <w:rFonts w:ascii="Arial" w:hAnsi="Arial" w:cs="Arial"/>
          <w:bCs/>
          <w:color w:val="000000"/>
          <w:lang w:val="uk-UA"/>
        </w:rPr>
        <w:t xml:space="preserve"> </w:t>
      </w:r>
      <w:r w:rsidR="00E568A1" w:rsidRPr="003E6CFC">
        <w:rPr>
          <w:rFonts w:ascii="Arial" w:hAnsi="Arial" w:cs="Arial"/>
          <w:bCs/>
          <w:color w:val="000000"/>
          <w:lang w:val="uk-UA"/>
        </w:rPr>
        <w:t>зд</w:t>
      </w:r>
      <w:r w:rsidR="00531E01">
        <w:rPr>
          <w:rFonts w:ascii="Arial" w:hAnsi="Arial" w:cs="Arial"/>
          <w:bCs/>
          <w:color w:val="000000"/>
          <w:lang w:val="uk-UA"/>
        </w:rPr>
        <w:t>ійснила незалежну оцінку чорнового варіанту</w:t>
      </w:r>
      <w:r w:rsidR="00E568A1" w:rsidRPr="003E6CFC">
        <w:rPr>
          <w:rFonts w:ascii="Arial" w:hAnsi="Arial" w:cs="Arial"/>
          <w:bCs/>
          <w:color w:val="000000"/>
          <w:lang w:val="uk-UA"/>
        </w:rPr>
        <w:t xml:space="preserve"> тимчасових рекомендацій, підготовлених Керівною групою</w:t>
      </w:r>
      <w:r w:rsidR="00E568A1">
        <w:rPr>
          <w:rFonts w:ascii="Arial" w:hAnsi="Arial" w:cs="Arial"/>
          <w:bCs/>
          <w:color w:val="000000"/>
          <w:lang w:val="uk-UA"/>
        </w:rPr>
        <w:t xml:space="preserve"> ВООЗ на основі рекомендацій ЕГ</w:t>
      </w:r>
      <w:r w:rsidR="00E568A1" w:rsidRPr="005C15FA">
        <w:rPr>
          <w:rFonts w:ascii="Arial" w:hAnsi="Arial" w:cs="Arial"/>
          <w:bCs/>
          <w:color w:val="000000"/>
          <w:lang w:val="uk-UA"/>
        </w:rPr>
        <w:t xml:space="preserve">. </w:t>
      </w:r>
      <w:r>
        <w:rPr>
          <w:rFonts w:ascii="Arial" w:hAnsi="Arial" w:cs="Arial"/>
          <w:bCs/>
          <w:color w:val="000000"/>
          <w:lang w:val="uk-UA"/>
        </w:rPr>
        <w:t>Група зовнішніх експертів</w:t>
      </w:r>
      <w:r w:rsidR="00E568A1" w:rsidRPr="005C15FA">
        <w:rPr>
          <w:rFonts w:ascii="Arial" w:hAnsi="Arial" w:cs="Arial"/>
          <w:bCs/>
          <w:color w:val="000000"/>
          <w:lang w:val="uk-UA"/>
        </w:rPr>
        <w:t xml:space="preserve"> склад</w:t>
      </w:r>
      <w:r w:rsidR="00E568A1">
        <w:rPr>
          <w:rFonts w:ascii="Arial" w:hAnsi="Arial" w:cs="Arial"/>
          <w:bCs/>
          <w:color w:val="000000"/>
          <w:lang w:val="uk-UA"/>
        </w:rPr>
        <w:t>алася з 10 рецензентів, які не були</w:t>
      </w:r>
      <w:r w:rsidR="00E568A1" w:rsidRPr="005C15FA">
        <w:rPr>
          <w:rFonts w:ascii="Arial" w:hAnsi="Arial" w:cs="Arial"/>
          <w:bCs/>
          <w:color w:val="000000"/>
          <w:lang w:val="uk-UA"/>
        </w:rPr>
        <w:t xml:space="preserve"> членами EГ, включаючи спеціалістів з контенту, кінцевих користувачів із країн з високим рівнем </w:t>
      </w:r>
      <w:r w:rsidR="00E568A1">
        <w:rPr>
          <w:rFonts w:ascii="Arial" w:hAnsi="Arial" w:cs="Arial"/>
          <w:bCs/>
          <w:color w:val="000000"/>
          <w:lang w:val="uk-UA"/>
        </w:rPr>
        <w:t>захворювання на ТБ та ВІЛ-інфекцію</w:t>
      </w:r>
      <w:r w:rsidR="00E568A1" w:rsidRPr="005C15FA">
        <w:rPr>
          <w:rFonts w:ascii="Arial" w:hAnsi="Arial" w:cs="Arial"/>
          <w:bCs/>
          <w:color w:val="000000"/>
          <w:lang w:val="uk-UA"/>
        </w:rPr>
        <w:t>, а також представників Стратегічної та технічної консультативної групи з питань туберкульозу (</w:t>
      </w:r>
      <w:r w:rsidR="00531E01">
        <w:rPr>
          <w:rFonts w:ascii="Arial" w:hAnsi="Arial" w:cs="Arial"/>
          <w:bCs/>
          <w:color w:val="000000"/>
          <w:lang w:val="uk-UA"/>
        </w:rPr>
        <w:t>STAG-TB</w:t>
      </w:r>
      <w:r w:rsidR="00E568A1" w:rsidRPr="005C15FA">
        <w:rPr>
          <w:rFonts w:ascii="Arial" w:hAnsi="Arial" w:cs="Arial"/>
          <w:bCs/>
          <w:color w:val="000000"/>
          <w:lang w:val="uk-UA"/>
        </w:rPr>
        <w:t xml:space="preserve">). Список членів </w:t>
      </w:r>
      <w:r>
        <w:rPr>
          <w:rFonts w:ascii="Arial" w:hAnsi="Arial" w:cs="Arial"/>
          <w:bCs/>
          <w:color w:val="000000"/>
          <w:lang w:val="uk-UA"/>
        </w:rPr>
        <w:t>Групи зовнішніх експертів</w:t>
      </w:r>
      <w:r w:rsidR="00E568A1" w:rsidRPr="005C15FA">
        <w:rPr>
          <w:rFonts w:ascii="Arial" w:hAnsi="Arial" w:cs="Arial"/>
          <w:bCs/>
          <w:color w:val="000000"/>
          <w:lang w:val="uk-UA"/>
        </w:rPr>
        <w:t xml:space="preserve"> можна знайти у Додатку 6. Коментарі, </w:t>
      </w:r>
      <w:r w:rsidR="00E568A1">
        <w:rPr>
          <w:rFonts w:ascii="Arial" w:hAnsi="Arial" w:cs="Arial"/>
          <w:bCs/>
          <w:color w:val="000000"/>
          <w:lang w:val="uk-UA"/>
        </w:rPr>
        <w:t>підготовлені</w:t>
      </w:r>
      <w:r w:rsidR="00E568A1" w:rsidRPr="005C15FA">
        <w:rPr>
          <w:rFonts w:ascii="Arial" w:hAnsi="Arial" w:cs="Arial"/>
          <w:bCs/>
          <w:color w:val="000000"/>
          <w:lang w:val="uk-UA"/>
        </w:rPr>
        <w:t xml:space="preserve"> членами </w:t>
      </w:r>
      <w:r>
        <w:rPr>
          <w:rFonts w:ascii="Arial" w:hAnsi="Arial" w:cs="Arial"/>
          <w:bCs/>
          <w:color w:val="000000"/>
          <w:lang w:val="uk-UA"/>
        </w:rPr>
        <w:t>Групи зовнішніх експертів</w:t>
      </w:r>
      <w:r w:rsidR="00E568A1" w:rsidRPr="005C15FA">
        <w:rPr>
          <w:rFonts w:ascii="Arial" w:hAnsi="Arial" w:cs="Arial"/>
          <w:bCs/>
          <w:color w:val="000000"/>
          <w:lang w:val="uk-UA"/>
        </w:rPr>
        <w:t>, були відображені в остаточній версії керівного документа.</w:t>
      </w:r>
    </w:p>
    <w:p w14:paraId="13FC18C9" w14:textId="77777777" w:rsidR="00E568A1" w:rsidRPr="00B51047"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p w14:paraId="494F8D31" w14:textId="77777777" w:rsidR="00E568A1" w:rsidRPr="00531E01" w:rsidRDefault="00E568A1" w:rsidP="0037724F">
      <w:pPr>
        <w:autoSpaceDE w:val="0"/>
        <w:autoSpaceDN w:val="0"/>
        <w:adjustRightInd w:val="0"/>
        <w:spacing w:after="0" w:line="240" w:lineRule="auto"/>
        <w:jc w:val="both"/>
        <w:rPr>
          <w:rFonts w:ascii="Arial" w:hAnsi="Arial" w:cs="Arial"/>
          <w:b/>
          <w:bCs/>
          <w:color w:val="6A2041"/>
          <w:sz w:val="28"/>
          <w:szCs w:val="28"/>
          <w:lang w:val="en-US"/>
        </w:rPr>
      </w:pPr>
      <w:r w:rsidRPr="007C79F7">
        <w:rPr>
          <w:rFonts w:ascii="Arial" w:hAnsi="Arial" w:cs="Arial"/>
          <w:b/>
          <w:bCs/>
          <w:color w:val="6A2041"/>
          <w:sz w:val="28"/>
          <w:szCs w:val="28"/>
        </w:rPr>
        <w:t>3.6 Фінансова підтримка</w:t>
      </w:r>
    </w:p>
    <w:p w14:paraId="0BE87728" w14:textId="77777777" w:rsidR="00E568A1" w:rsidRPr="00B51047"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p w14:paraId="702FF1A6" w14:textId="06CD7FFC" w:rsidR="00E568A1" w:rsidRPr="00163A60" w:rsidRDefault="00E568A1" w:rsidP="0037724F">
      <w:pPr>
        <w:autoSpaceDE w:val="0"/>
        <w:autoSpaceDN w:val="0"/>
        <w:adjustRightInd w:val="0"/>
        <w:spacing w:after="0" w:line="240" w:lineRule="auto"/>
        <w:jc w:val="both"/>
        <w:rPr>
          <w:rFonts w:ascii="Arial" w:hAnsi="Arial" w:cs="Arial"/>
          <w:color w:val="000000"/>
          <w:lang w:val="uk-UA"/>
        </w:rPr>
      </w:pPr>
      <w:r w:rsidRPr="005C15FA">
        <w:rPr>
          <w:rFonts w:ascii="Arial" w:hAnsi="Arial" w:cs="Arial"/>
          <w:color w:val="000000"/>
          <w:lang w:val="uk-UA"/>
        </w:rPr>
        <w:t xml:space="preserve">Фінансова підтримка для проведення засідання EГ та пов'язаних з цим аналізів була надана в рамках консолідованого гранту USAID для Департаменту ВООЗ "Стоп TB" (номер проекту: US 2012 0392). </w:t>
      </w:r>
      <w:r w:rsidRPr="00163A60">
        <w:rPr>
          <w:rFonts w:ascii="Arial" w:hAnsi="Arial" w:cs="Arial"/>
          <w:color w:val="000000"/>
          <w:lang w:val="uk-UA"/>
        </w:rPr>
        <w:t>Центри з контролю та</w:t>
      </w:r>
      <w:r w:rsidR="00C472CC">
        <w:rPr>
          <w:rFonts w:ascii="Arial" w:hAnsi="Arial" w:cs="Arial"/>
          <w:color w:val="000000"/>
          <w:lang w:val="uk-UA"/>
        </w:rPr>
        <w:t xml:space="preserve"> профілактики захворювань </w:t>
      </w:r>
      <w:r>
        <w:rPr>
          <w:rFonts w:ascii="Arial" w:hAnsi="Arial" w:cs="Arial"/>
          <w:color w:val="000000"/>
          <w:lang w:val="uk-UA"/>
        </w:rPr>
        <w:t xml:space="preserve">США </w:t>
      </w:r>
      <w:r w:rsidRPr="00163A60">
        <w:rPr>
          <w:rFonts w:ascii="Arial" w:hAnsi="Arial" w:cs="Arial"/>
          <w:color w:val="000000"/>
          <w:lang w:val="uk-UA"/>
        </w:rPr>
        <w:t xml:space="preserve">завершили оцінку </w:t>
      </w:r>
      <w:r w:rsidR="00FA08E5">
        <w:rPr>
          <w:rFonts w:ascii="Arial" w:hAnsi="Arial" w:cs="Arial"/>
          <w:color w:val="000000"/>
          <w:lang w:val="uk-UA"/>
        </w:rPr>
        <w:t>конверсії</w:t>
      </w:r>
      <w:r w:rsidRPr="00163A60">
        <w:rPr>
          <w:rFonts w:ascii="Arial" w:hAnsi="Arial" w:cs="Arial"/>
          <w:color w:val="000000"/>
          <w:lang w:val="uk-UA"/>
        </w:rPr>
        <w:t xml:space="preserve"> культури мокротиння в якості сурогатного маркера для результатів лікування мультирезистентного ТБ (робота, проведена Катериною Курбатовою та її колегами).</w:t>
      </w:r>
    </w:p>
    <w:p w14:paraId="7A566F61" w14:textId="77777777" w:rsidR="00E568A1" w:rsidRPr="00B51047"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60FBC2AA" w14:textId="77777777" w:rsidR="00E568A1" w:rsidRPr="007E2145" w:rsidRDefault="00E568A1" w:rsidP="00163A60">
      <w:pPr>
        <w:autoSpaceDE w:val="0"/>
        <w:autoSpaceDN w:val="0"/>
        <w:adjustRightInd w:val="0"/>
        <w:spacing w:after="0" w:line="240" w:lineRule="auto"/>
        <w:rPr>
          <w:rFonts w:ascii="Arial" w:hAnsi="Arial" w:cs="Arial"/>
          <w:b/>
          <w:bCs/>
          <w:color w:val="6A2041"/>
          <w:sz w:val="32"/>
          <w:szCs w:val="32"/>
          <w:lang w:val="uk-UA"/>
        </w:rPr>
      </w:pPr>
      <w:r w:rsidRPr="007E2145">
        <w:rPr>
          <w:rFonts w:ascii="Arial" w:hAnsi="Arial" w:cs="Arial"/>
          <w:b/>
          <w:bCs/>
          <w:color w:val="6A2041"/>
          <w:sz w:val="32"/>
          <w:szCs w:val="32"/>
          <w:lang w:val="uk-UA"/>
        </w:rPr>
        <w:t xml:space="preserve">4. Доказова база для формулювання </w:t>
      </w:r>
      <w:r w:rsidR="00FA08E5" w:rsidRPr="007E2145">
        <w:rPr>
          <w:rFonts w:ascii="Arial" w:hAnsi="Arial" w:cs="Arial"/>
          <w:b/>
          <w:bCs/>
          <w:color w:val="6A2041"/>
          <w:sz w:val="32"/>
          <w:szCs w:val="32"/>
          <w:lang w:val="uk-UA"/>
        </w:rPr>
        <w:t>методики</w:t>
      </w:r>
    </w:p>
    <w:p w14:paraId="3567D949" w14:textId="77777777" w:rsidR="00E568A1" w:rsidRPr="00B51047"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6C07A414" w14:textId="0E6BD615" w:rsidR="00E568A1" w:rsidRPr="00B650D1" w:rsidRDefault="00E568A1" w:rsidP="00780DAC">
      <w:pPr>
        <w:autoSpaceDE w:val="0"/>
        <w:autoSpaceDN w:val="0"/>
        <w:adjustRightInd w:val="0"/>
        <w:spacing w:after="0" w:line="240" w:lineRule="auto"/>
        <w:jc w:val="both"/>
        <w:rPr>
          <w:rFonts w:ascii="Arial" w:hAnsi="Arial" w:cs="Arial"/>
          <w:color w:val="000000"/>
          <w:lang w:val="uk-UA"/>
        </w:rPr>
      </w:pPr>
      <w:r w:rsidRPr="00780DAC">
        <w:rPr>
          <w:rFonts w:ascii="Arial" w:hAnsi="Arial" w:cs="Arial"/>
          <w:color w:val="000000"/>
          <w:lang w:val="uk-UA"/>
        </w:rPr>
        <w:t>Були проаналізовані загальнодоступні дані стосовно доклінічної та клінічної розробки бедаквіліну. До них відносяться токсичність, дозування та фармакокінетичні дослідження, дослідження взаємодії між препаратами (DDI), дослідження ранньої бактерицидної акт</w:t>
      </w:r>
      <w:r w:rsidR="007E0560">
        <w:rPr>
          <w:rFonts w:ascii="Arial" w:hAnsi="Arial" w:cs="Arial"/>
          <w:color w:val="000000"/>
          <w:lang w:val="uk-UA"/>
        </w:rPr>
        <w:t>ивності, дослідження щодо безпеки препарату</w:t>
      </w:r>
      <w:r w:rsidRPr="00780DAC">
        <w:rPr>
          <w:rFonts w:ascii="Arial" w:hAnsi="Arial" w:cs="Arial"/>
          <w:color w:val="000000"/>
          <w:lang w:val="uk-UA"/>
        </w:rPr>
        <w:t>, базові клінічні випробува</w:t>
      </w:r>
      <w:r w:rsidR="007B267F">
        <w:rPr>
          <w:rFonts w:ascii="Arial" w:hAnsi="Arial" w:cs="Arial"/>
          <w:color w:val="000000"/>
          <w:lang w:val="uk-UA"/>
        </w:rPr>
        <w:t>ння Ф</w:t>
      </w:r>
      <w:r w:rsidRPr="00780DAC">
        <w:rPr>
          <w:rFonts w:ascii="Arial" w:hAnsi="Arial" w:cs="Arial"/>
          <w:color w:val="000000"/>
          <w:lang w:val="uk-UA"/>
        </w:rPr>
        <w:t xml:space="preserve">ази IIb та </w:t>
      </w:r>
      <w:r w:rsidR="00C472CC" w:rsidRPr="00C472CC">
        <w:rPr>
          <w:rFonts w:ascii="Arial" w:hAnsi="Arial" w:cs="Arial"/>
          <w:color w:val="000000"/>
          <w:lang w:val="uk-UA"/>
        </w:rPr>
        <w:t>просте</w:t>
      </w:r>
      <w:r w:rsidRPr="00C472CC">
        <w:rPr>
          <w:rFonts w:ascii="Arial" w:hAnsi="Arial" w:cs="Arial"/>
          <w:color w:val="000000"/>
          <w:lang w:val="uk-UA"/>
        </w:rPr>
        <w:t xml:space="preserve"> відкрите випробування</w:t>
      </w:r>
      <w:r>
        <w:rPr>
          <w:rFonts w:ascii="Arial" w:hAnsi="Arial" w:cs="Arial"/>
          <w:color w:val="000000"/>
          <w:lang w:val="uk-UA"/>
        </w:rPr>
        <w:t xml:space="preserve"> (що триває). </w:t>
      </w:r>
      <w:r w:rsidRPr="00003493">
        <w:rPr>
          <w:rFonts w:ascii="Arial" w:hAnsi="Arial" w:cs="Arial"/>
          <w:color w:val="000000"/>
          <w:vertAlign w:val="superscript"/>
          <w:lang w:val="uk-UA"/>
        </w:rPr>
        <w:t>13,14</w:t>
      </w:r>
    </w:p>
    <w:p w14:paraId="7C2E75F1" w14:textId="77777777" w:rsidR="00E568A1" w:rsidRPr="00B51047"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1D6FA74C" w14:textId="6FC2CEAD" w:rsidR="00E568A1" w:rsidRPr="00B51047" w:rsidRDefault="00E568A1" w:rsidP="0037724F">
      <w:pPr>
        <w:autoSpaceDE w:val="0"/>
        <w:autoSpaceDN w:val="0"/>
        <w:adjustRightInd w:val="0"/>
        <w:spacing w:after="0" w:line="240" w:lineRule="auto"/>
        <w:jc w:val="both"/>
        <w:rPr>
          <w:rFonts w:ascii="Arial" w:hAnsi="Arial" w:cs="Arial"/>
          <w:color w:val="000000"/>
          <w:u w:val="single"/>
          <w:lang w:val="uk-UA"/>
        </w:rPr>
      </w:pPr>
      <w:r w:rsidRPr="00780DAC">
        <w:rPr>
          <w:rFonts w:ascii="Arial" w:hAnsi="Arial" w:cs="Arial"/>
          <w:color w:val="000000"/>
          <w:lang w:val="uk-UA"/>
        </w:rPr>
        <w:t xml:space="preserve">Загалом 265 суб'єктів брали участь у 11-ти </w:t>
      </w:r>
      <w:r w:rsidR="00C472CC">
        <w:rPr>
          <w:rFonts w:ascii="Arial" w:hAnsi="Arial" w:cs="Arial"/>
          <w:color w:val="000000"/>
          <w:lang w:val="uk-UA"/>
        </w:rPr>
        <w:t xml:space="preserve">випробуваннях бедаквіліну </w:t>
      </w:r>
      <w:r w:rsidRPr="00780DAC">
        <w:rPr>
          <w:rFonts w:ascii="Arial" w:hAnsi="Arial" w:cs="Arial"/>
          <w:color w:val="000000"/>
          <w:lang w:val="uk-UA"/>
        </w:rPr>
        <w:t xml:space="preserve">Фази </w:t>
      </w:r>
      <w:r w:rsidR="00C472CC">
        <w:rPr>
          <w:rFonts w:ascii="Arial" w:hAnsi="Arial" w:cs="Arial"/>
          <w:color w:val="000000"/>
          <w:lang w:val="uk-UA"/>
        </w:rPr>
        <w:t xml:space="preserve">І </w:t>
      </w:r>
      <w:r w:rsidRPr="00780DAC">
        <w:rPr>
          <w:rFonts w:ascii="Arial" w:hAnsi="Arial" w:cs="Arial"/>
          <w:color w:val="000000"/>
          <w:lang w:val="uk-UA"/>
        </w:rPr>
        <w:t>(</w:t>
      </w:r>
      <w:r w:rsidR="00C472CC">
        <w:rPr>
          <w:rFonts w:ascii="Arial" w:hAnsi="Arial" w:cs="Arial"/>
          <w:color w:val="000000"/>
          <w:lang w:val="uk-UA"/>
        </w:rPr>
        <w:t xml:space="preserve">208 було залучено </w:t>
      </w:r>
      <w:r w:rsidRPr="005B6C6A">
        <w:rPr>
          <w:rFonts w:ascii="Arial" w:hAnsi="Arial" w:cs="Arial"/>
          <w:color w:val="000000"/>
          <w:lang w:val="uk-UA"/>
        </w:rPr>
        <w:t xml:space="preserve">до восьми випробувань з </w:t>
      </w:r>
      <w:r w:rsidR="00C472CC">
        <w:rPr>
          <w:rFonts w:ascii="Arial" w:hAnsi="Arial" w:cs="Arial"/>
          <w:color w:val="000000"/>
          <w:lang w:val="uk-UA"/>
        </w:rPr>
        <w:t>застосуванням одноразової дози - доза</w:t>
      </w:r>
      <w:r w:rsidRPr="005B6C6A">
        <w:rPr>
          <w:rFonts w:ascii="Arial" w:hAnsi="Arial" w:cs="Arial"/>
          <w:color w:val="000000"/>
          <w:lang w:val="uk-UA"/>
        </w:rPr>
        <w:t xml:space="preserve"> бедаквіліну до 800 мг; і 57 суб'єктів залучили до трьох випр</w:t>
      </w:r>
      <w:r w:rsidR="00BF4889">
        <w:rPr>
          <w:rFonts w:ascii="Arial" w:hAnsi="Arial" w:cs="Arial"/>
          <w:color w:val="000000"/>
          <w:lang w:val="uk-UA"/>
        </w:rPr>
        <w:t>обувань з багаторазовими дозами – добова доза бедаквіліну</w:t>
      </w:r>
      <w:r w:rsidRPr="005B6C6A">
        <w:rPr>
          <w:rFonts w:ascii="Arial" w:hAnsi="Arial" w:cs="Arial"/>
          <w:color w:val="000000"/>
          <w:lang w:val="uk-UA"/>
        </w:rPr>
        <w:t xml:space="preserve"> 400 мг </w:t>
      </w:r>
      <w:r w:rsidR="00BF4889">
        <w:rPr>
          <w:rFonts w:ascii="Arial" w:hAnsi="Arial" w:cs="Arial"/>
          <w:color w:val="000000"/>
          <w:lang w:val="uk-UA"/>
        </w:rPr>
        <w:t xml:space="preserve">з </w:t>
      </w:r>
      <w:r w:rsidRPr="005B6C6A">
        <w:rPr>
          <w:rFonts w:ascii="Arial" w:hAnsi="Arial" w:cs="Arial"/>
          <w:color w:val="000000"/>
          <w:lang w:val="uk-UA"/>
        </w:rPr>
        <w:t>максимальною тривалістю лікування 15 днів)</w:t>
      </w:r>
      <w:r w:rsidRPr="00780DAC">
        <w:rPr>
          <w:rFonts w:ascii="Arial" w:hAnsi="Arial" w:cs="Arial"/>
          <w:color w:val="000000"/>
          <w:lang w:val="uk-UA"/>
        </w:rPr>
        <w:t>.</w:t>
      </w:r>
      <w:r>
        <w:rPr>
          <w:rFonts w:ascii="Arial" w:hAnsi="Arial" w:cs="Arial"/>
          <w:color w:val="000000"/>
          <w:lang w:val="uk-UA"/>
        </w:rPr>
        <w:t xml:space="preserve"> </w:t>
      </w:r>
      <w:r w:rsidR="00D10487">
        <w:rPr>
          <w:rFonts w:ascii="Arial" w:hAnsi="Arial" w:cs="Arial"/>
          <w:color w:val="000000"/>
          <w:lang w:val="uk-UA"/>
        </w:rPr>
        <w:t xml:space="preserve">Випробування під час </w:t>
      </w:r>
      <w:r w:rsidRPr="008324A6">
        <w:rPr>
          <w:rFonts w:ascii="Arial" w:hAnsi="Arial" w:cs="Arial"/>
          <w:color w:val="000000"/>
          <w:lang w:val="uk-UA"/>
        </w:rPr>
        <w:t>Фази</w:t>
      </w:r>
      <w:r w:rsidR="00D10487">
        <w:rPr>
          <w:rFonts w:ascii="Arial" w:hAnsi="Arial" w:cs="Arial"/>
          <w:color w:val="000000"/>
          <w:lang w:val="uk-UA"/>
        </w:rPr>
        <w:t xml:space="preserve"> І</w:t>
      </w:r>
      <w:r w:rsidRPr="008324A6">
        <w:rPr>
          <w:rFonts w:ascii="Arial" w:hAnsi="Arial" w:cs="Arial"/>
          <w:color w:val="000000"/>
          <w:lang w:val="uk-UA"/>
        </w:rPr>
        <w:t xml:space="preserve"> надали базове розуміння фармакокінетичних характеристик бедаквіліну, потенціалу взаємодії між препаратами (DD</w:t>
      </w:r>
      <w:r w:rsidR="00DB119B">
        <w:rPr>
          <w:rFonts w:ascii="Arial" w:hAnsi="Arial" w:cs="Arial"/>
          <w:color w:val="000000"/>
          <w:lang w:val="uk-UA"/>
        </w:rPr>
        <w:t xml:space="preserve">I) та короткочасної безпечності/переносимості серед </w:t>
      </w:r>
      <w:r w:rsidRPr="008324A6">
        <w:rPr>
          <w:rFonts w:ascii="Arial" w:hAnsi="Arial" w:cs="Arial"/>
          <w:color w:val="000000"/>
          <w:lang w:val="uk-UA"/>
        </w:rPr>
        <w:t xml:space="preserve">здорових </w:t>
      </w:r>
      <w:r w:rsidR="00DB119B">
        <w:rPr>
          <w:rFonts w:ascii="Arial" w:hAnsi="Arial" w:cs="Arial"/>
          <w:color w:val="000000"/>
          <w:lang w:val="uk-UA"/>
        </w:rPr>
        <w:t>учасників</w:t>
      </w:r>
      <w:r w:rsidR="00DB119B" w:rsidRPr="00DB119B">
        <w:rPr>
          <w:rFonts w:ascii="Arial" w:hAnsi="Arial" w:cs="Arial"/>
          <w:color w:val="000000"/>
          <w:lang w:val="uk-UA"/>
        </w:rPr>
        <w:t xml:space="preserve"> дослідження </w:t>
      </w:r>
      <w:r w:rsidRPr="008324A6">
        <w:rPr>
          <w:rFonts w:ascii="Arial" w:hAnsi="Arial" w:cs="Arial"/>
          <w:color w:val="000000"/>
          <w:lang w:val="uk-UA"/>
        </w:rPr>
        <w:t xml:space="preserve">серед </w:t>
      </w:r>
      <w:r w:rsidR="00DB119B">
        <w:rPr>
          <w:rFonts w:ascii="Arial" w:hAnsi="Arial" w:cs="Arial"/>
          <w:color w:val="000000"/>
          <w:lang w:val="uk-UA"/>
        </w:rPr>
        <w:t xml:space="preserve">та </w:t>
      </w:r>
      <w:r w:rsidRPr="008324A6">
        <w:rPr>
          <w:rFonts w:ascii="Arial" w:hAnsi="Arial" w:cs="Arial"/>
          <w:color w:val="000000"/>
          <w:lang w:val="uk-UA"/>
        </w:rPr>
        <w:t xml:space="preserve">групи пацієнтів з помірною недостатністю печінки. Проведено подвійне сліпе випробування з одноразовою дозою для оцінки впливу однієї супра-терапевтичної (800 мг) дози бедаквіліну на </w:t>
      </w:r>
      <w:r w:rsidR="00DB119B">
        <w:rPr>
          <w:rFonts w:ascii="Arial" w:hAnsi="Arial" w:cs="Arial"/>
          <w:color w:val="000000"/>
          <w:lang w:val="uk-UA"/>
        </w:rPr>
        <w:t xml:space="preserve">скорегованому інтревалі </w:t>
      </w:r>
      <w:r w:rsidRPr="00B51047">
        <w:rPr>
          <w:rFonts w:ascii="Arial" w:hAnsi="Arial" w:cs="Arial"/>
          <w:color w:val="000000"/>
          <w:lang w:val="uk-UA"/>
        </w:rPr>
        <w:t>QT (QTc).</w:t>
      </w:r>
    </w:p>
    <w:p w14:paraId="5F71D51E" w14:textId="77777777" w:rsidR="00B51047" w:rsidRDefault="00B51047" w:rsidP="0037724F">
      <w:pPr>
        <w:autoSpaceDE w:val="0"/>
        <w:autoSpaceDN w:val="0"/>
        <w:adjustRightInd w:val="0"/>
        <w:spacing w:after="0" w:line="240" w:lineRule="auto"/>
        <w:jc w:val="both"/>
        <w:rPr>
          <w:rFonts w:ascii="Arial" w:hAnsi="Arial" w:cs="Arial"/>
          <w:color w:val="000000"/>
          <w:sz w:val="10"/>
          <w:szCs w:val="10"/>
          <w:u w:val="single"/>
          <w:lang w:val="uk-UA"/>
        </w:rPr>
      </w:pPr>
    </w:p>
    <w:p w14:paraId="2D09B6D1" w14:textId="77777777" w:rsidR="00B51047" w:rsidRDefault="00B51047" w:rsidP="0037724F">
      <w:pPr>
        <w:autoSpaceDE w:val="0"/>
        <w:autoSpaceDN w:val="0"/>
        <w:adjustRightInd w:val="0"/>
        <w:spacing w:after="0" w:line="240" w:lineRule="auto"/>
        <w:jc w:val="both"/>
        <w:rPr>
          <w:rFonts w:ascii="Arial" w:hAnsi="Arial" w:cs="Arial"/>
          <w:color w:val="000000"/>
          <w:sz w:val="10"/>
          <w:szCs w:val="10"/>
          <w:u w:val="single"/>
          <w:lang w:val="uk-UA"/>
        </w:rPr>
      </w:pPr>
      <w:r>
        <w:rPr>
          <w:rFonts w:ascii="Arial" w:hAnsi="Arial" w:cs="Arial"/>
          <w:color w:val="000000"/>
          <w:sz w:val="10"/>
          <w:szCs w:val="10"/>
          <w:u w:val="single"/>
          <w:lang w:val="uk-UA"/>
        </w:rPr>
        <w:t>______________________________________________________________________________</w:t>
      </w:r>
    </w:p>
    <w:p w14:paraId="68B73E60" w14:textId="77777777" w:rsidR="00B51047" w:rsidRPr="00B51047" w:rsidRDefault="00B51047" w:rsidP="0037724F">
      <w:pPr>
        <w:autoSpaceDE w:val="0"/>
        <w:autoSpaceDN w:val="0"/>
        <w:adjustRightInd w:val="0"/>
        <w:spacing w:after="0" w:line="240" w:lineRule="auto"/>
        <w:jc w:val="both"/>
        <w:rPr>
          <w:rFonts w:ascii="Arial" w:hAnsi="Arial" w:cs="Arial"/>
          <w:color w:val="000000"/>
          <w:sz w:val="10"/>
          <w:szCs w:val="10"/>
          <w:u w:val="single"/>
          <w:lang w:val="uk-UA"/>
        </w:rPr>
      </w:pPr>
    </w:p>
    <w:p w14:paraId="58E0C988" w14:textId="08C75F46" w:rsidR="00B51047" w:rsidRPr="00C14E02" w:rsidRDefault="00B51047" w:rsidP="00B51047">
      <w:pPr>
        <w:autoSpaceDE w:val="0"/>
        <w:autoSpaceDN w:val="0"/>
        <w:adjustRightInd w:val="0"/>
        <w:spacing w:after="0" w:line="240" w:lineRule="auto"/>
        <w:rPr>
          <w:rFonts w:ascii="Arial" w:hAnsi="Arial" w:cs="Arial"/>
          <w:color w:val="000000"/>
          <w:sz w:val="18"/>
          <w:szCs w:val="18"/>
          <w:lang w:val="uk-UA"/>
        </w:rPr>
      </w:pPr>
      <w:r w:rsidRPr="008F5ADD">
        <w:rPr>
          <w:rFonts w:ascii="Arial" w:hAnsi="Arial" w:cs="Arial"/>
          <w:b/>
          <w:color w:val="000000"/>
          <w:sz w:val="18"/>
          <w:szCs w:val="18"/>
          <w:vertAlign w:val="superscript"/>
          <w:lang w:val="uk-UA"/>
        </w:rPr>
        <w:t xml:space="preserve">13 </w:t>
      </w:r>
      <w:r w:rsidRPr="00C14E02">
        <w:rPr>
          <w:rFonts w:ascii="Arial" w:hAnsi="Arial" w:cs="Arial"/>
          <w:color w:val="000000"/>
          <w:sz w:val="18"/>
          <w:szCs w:val="18"/>
          <w:lang w:val="uk-UA"/>
        </w:rPr>
        <w:t xml:space="preserve">  </w:t>
      </w:r>
      <w:r w:rsidRPr="00B51047">
        <w:rPr>
          <w:rFonts w:ascii="Arial" w:hAnsi="Arial" w:cs="Arial"/>
          <w:color w:val="000000"/>
          <w:sz w:val="17"/>
          <w:szCs w:val="17"/>
          <w:lang w:val="uk-UA"/>
        </w:rPr>
        <w:t xml:space="preserve">Janssen Фрмацевтичні компанії, 2012. </w:t>
      </w:r>
      <w:r w:rsidRPr="00B51047">
        <w:rPr>
          <w:rFonts w:ascii="Arial" w:hAnsi="Arial" w:cs="Arial"/>
          <w:i/>
          <w:color w:val="000000"/>
          <w:sz w:val="17"/>
          <w:szCs w:val="17"/>
          <w:lang w:val="uk-UA"/>
        </w:rPr>
        <w:t xml:space="preserve">Лікування пацієнтів TMC207 (бедаквілін)  з </w:t>
      </w:r>
      <w:r w:rsidR="009B51D9">
        <w:rPr>
          <w:rFonts w:ascii="Arial" w:hAnsi="Arial" w:cs="Arial"/>
          <w:i/>
          <w:color w:val="000000"/>
          <w:sz w:val="17"/>
          <w:szCs w:val="17"/>
          <w:lang w:val="uk-UA"/>
        </w:rPr>
        <w:t>МР ТБ</w:t>
      </w:r>
      <w:r w:rsidRPr="00B51047">
        <w:rPr>
          <w:rFonts w:ascii="Arial" w:hAnsi="Arial" w:cs="Arial"/>
          <w:i/>
          <w:color w:val="000000"/>
          <w:sz w:val="17"/>
          <w:szCs w:val="17"/>
          <w:lang w:val="uk-UA"/>
        </w:rPr>
        <w:t xml:space="preserve"> (Заявка на схвалення нового лікарського препарату / NDA 204-384</w:t>
      </w:r>
      <w:r w:rsidRPr="00B51047">
        <w:rPr>
          <w:rFonts w:ascii="Arial" w:hAnsi="Arial" w:cs="Arial"/>
          <w:color w:val="000000"/>
          <w:sz w:val="17"/>
          <w:szCs w:val="17"/>
          <w:lang w:val="uk-UA"/>
        </w:rPr>
        <w:t>). Інформаційний документ для засідання Консультативного комітету з  протиінфекційних лікарських препаратів, 28 листопада 2012 р. Всі документи доступні на сайті: http://www.fda.gov/AdvisoryCommitteesMeetingMaterials/Drugs/Anti-InfectiveDrugsAdvisoryCommittee/ucm293600.htm</w:t>
      </w:r>
    </w:p>
    <w:p w14:paraId="42A04C62" w14:textId="77777777" w:rsidR="00B51047" w:rsidRPr="00C14E02" w:rsidRDefault="00B51047" w:rsidP="00B51047">
      <w:pPr>
        <w:autoSpaceDE w:val="0"/>
        <w:autoSpaceDN w:val="0"/>
        <w:adjustRightInd w:val="0"/>
        <w:spacing w:after="0" w:line="240" w:lineRule="auto"/>
        <w:rPr>
          <w:rFonts w:ascii="Arial" w:hAnsi="Arial" w:cs="Arial"/>
          <w:color w:val="000000"/>
          <w:sz w:val="18"/>
          <w:szCs w:val="18"/>
          <w:lang w:val="uk-UA"/>
        </w:rPr>
      </w:pPr>
      <w:r w:rsidRPr="008F5ADD">
        <w:rPr>
          <w:rFonts w:ascii="Arial" w:hAnsi="Arial" w:cs="Arial"/>
          <w:b/>
          <w:color w:val="000000"/>
          <w:sz w:val="20"/>
          <w:szCs w:val="20"/>
          <w:vertAlign w:val="superscript"/>
          <w:lang w:val="uk-UA"/>
        </w:rPr>
        <w:t>14</w:t>
      </w:r>
      <w:r>
        <w:rPr>
          <w:rFonts w:ascii="Arial" w:hAnsi="Arial" w:cs="Arial"/>
          <w:color w:val="000000"/>
          <w:sz w:val="20"/>
          <w:szCs w:val="20"/>
          <w:lang w:val="uk-UA"/>
        </w:rPr>
        <w:t xml:space="preserve">  </w:t>
      </w:r>
      <w:r w:rsidRPr="001D3BBE">
        <w:rPr>
          <w:rFonts w:ascii="Arial" w:hAnsi="Arial" w:cs="Arial"/>
          <w:color w:val="000000"/>
          <w:sz w:val="20"/>
          <w:szCs w:val="20"/>
          <w:lang w:val="uk-UA"/>
        </w:rPr>
        <w:t xml:space="preserve"> </w:t>
      </w:r>
      <w:r w:rsidRPr="00B51047">
        <w:rPr>
          <w:rFonts w:ascii="Arial" w:hAnsi="Arial" w:cs="Arial"/>
          <w:color w:val="000000"/>
          <w:sz w:val="17"/>
          <w:szCs w:val="17"/>
          <w:lang w:val="uk-UA"/>
        </w:rPr>
        <w:t>Посилання на всі документи стосовно бедаквіліну, можна знайти на веб-сайті, вказаному на сторінці 1 цього документа.</w:t>
      </w:r>
    </w:p>
    <w:p w14:paraId="1A9F2D9C" w14:textId="231F4ACB" w:rsidR="00E568A1" w:rsidRDefault="00E568A1" w:rsidP="0037724F">
      <w:pPr>
        <w:autoSpaceDE w:val="0"/>
        <w:autoSpaceDN w:val="0"/>
        <w:adjustRightInd w:val="0"/>
        <w:spacing w:after="0" w:line="240" w:lineRule="auto"/>
        <w:jc w:val="both"/>
        <w:rPr>
          <w:rFonts w:ascii="Arial" w:hAnsi="Arial" w:cs="Arial"/>
          <w:color w:val="000000"/>
          <w:lang w:val="uk-UA"/>
        </w:rPr>
      </w:pPr>
      <w:r w:rsidRPr="00C14E02">
        <w:rPr>
          <w:rFonts w:ascii="Arial" w:hAnsi="Arial" w:cs="Arial"/>
          <w:color w:val="000000"/>
          <w:lang w:val="uk-UA"/>
        </w:rPr>
        <w:lastRenderedPageBreak/>
        <w:t xml:space="preserve">Фаза </w:t>
      </w:r>
      <w:r w:rsidRPr="00C14E02">
        <w:rPr>
          <w:rFonts w:ascii="Arial" w:hAnsi="Arial" w:cs="Arial"/>
          <w:color w:val="000000"/>
          <w:lang w:val="en-US"/>
        </w:rPr>
        <w:t>IIa</w:t>
      </w:r>
      <w:r w:rsidRPr="00C14E02">
        <w:rPr>
          <w:rFonts w:ascii="Arial" w:hAnsi="Arial" w:cs="Arial"/>
          <w:color w:val="000000"/>
          <w:lang w:val="uk-UA"/>
        </w:rPr>
        <w:t xml:space="preserve">, було проведено 7-денне випробування </w:t>
      </w:r>
      <w:r w:rsidR="00DB119B">
        <w:rPr>
          <w:rFonts w:ascii="Arial" w:hAnsi="Arial" w:cs="Arial"/>
          <w:color w:val="000000"/>
          <w:lang w:val="uk-UA"/>
        </w:rPr>
        <w:t xml:space="preserve">ранньої </w:t>
      </w:r>
      <w:r w:rsidRPr="00C14E02">
        <w:rPr>
          <w:rFonts w:ascii="Arial" w:hAnsi="Arial" w:cs="Arial"/>
          <w:color w:val="000000"/>
          <w:lang w:val="uk-UA"/>
        </w:rPr>
        <w:t xml:space="preserve">бактерицидної активності серед </w:t>
      </w:r>
      <w:r w:rsidR="00A16681">
        <w:rPr>
          <w:rFonts w:ascii="Arial" w:hAnsi="Arial" w:cs="Arial"/>
          <w:color w:val="000000"/>
          <w:lang w:val="uk-UA"/>
        </w:rPr>
        <w:t>75-ти пацієнтів з медикаментозним</w:t>
      </w:r>
      <w:r w:rsidR="00DB119B">
        <w:rPr>
          <w:rFonts w:ascii="Arial" w:hAnsi="Arial" w:cs="Arial"/>
          <w:color w:val="000000"/>
          <w:lang w:val="uk-UA"/>
        </w:rPr>
        <w:t xml:space="preserve"> чутливим ТБ (</w:t>
      </w:r>
      <w:r w:rsidRPr="00C14E02">
        <w:rPr>
          <w:rFonts w:ascii="Arial" w:hAnsi="Arial" w:cs="Arial"/>
          <w:color w:val="000000"/>
          <w:lang w:val="uk-UA"/>
        </w:rPr>
        <w:t xml:space="preserve">дози </w:t>
      </w:r>
      <w:r w:rsidR="00DB119B" w:rsidRPr="00C14E02">
        <w:rPr>
          <w:rFonts w:ascii="Arial" w:hAnsi="Arial" w:cs="Arial"/>
          <w:color w:val="000000"/>
          <w:lang w:val="uk-UA"/>
        </w:rPr>
        <w:t xml:space="preserve">бедаквіліну </w:t>
      </w:r>
      <w:r w:rsidRPr="00C14E02">
        <w:rPr>
          <w:rFonts w:ascii="Arial" w:hAnsi="Arial" w:cs="Arial"/>
          <w:color w:val="000000"/>
          <w:lang w:val="uk-UA"/>
        </w:rPr>
        <w:t xml:space="preserve">400 мг в день) для оцінки клінічної антимікобактеріальної активності бедаквіліну. </w:t>
      </w:r>
    </w:p>
    <w:p w14:paraId="67A583A0" w14:textId="77777777" w:rsidR="00E568A1" w:rsidRPr="00506777" w:rsidRDefault="00E568A1" w:rsidP="0037724F">
      <w:pPr>
        <w:autoSpaceDE w:val="0"/>
        <w:autoSpaceDN w:val="0"/>
        <w:adjustRightInd w:val="0"/>
        <w:spacing w:after="0" w:line="240" w:lineRule="auto"/>
        <w:jc w:val="both"/>
        <w:rPr>
          <w:rFonts w:ascii="Arial" w:hAnsi="Arial" w:cs="Arial"/>
          <w:color w:val="FFFFFF"/>
          <w:sz w:val="16"/>
          <w:szCs w:val="16"/>
        </w:rPr>
      </w:pPr>
      <w:r w:rsidRPr="00A60AE1">
        <w:rPr>
          <w:rFonts w:ascii="Arial" w:hAnsi="Arial" w:cs="Arial"/>
          <w:color w:val="FFFFFF"/>
        </w:rPr>
        <w:t>21</w:t>
      </w:r>
    </w:p>
    <w:p w14:paraId="53B775AE" w14:textId="065BEFCF" w:rsidR="00E568A1" w:rsidRPr="00A60AE1" w:rsidRDefault="00E568A1" w:rsidP="0037724F">
      <w:pPr>
        <w:autoSpaceDE w:val="0"/>
        <w:autoSpaceDN w:val="0"/>
        <w:adjustRightInd w:val="0"/>
        <w:spacing w:after="0" w:line="240" w:lineRule="auto"/>
        <w:jc w:val="both"/>
        <w:rPr>
          <w:rFonts w:ascii="Arial" w:hAnsi="Arial" w:cs="Arial"/>
          <w:color w:val="000000"/>
          <w:lang w:val="uk-UA"/>
        </w:rPr>
      </w:pPr>
      <w:r w:rsidRPr="00820649">
        <w:rPr>
          <w:rFonts w:ascii="Arial" w:hAnsi="Arial" w:cs="Arial"/>
          <w:color w:val="000000"/>
          <w:lang w:val="uk-UA"/>
        </w:rPr>
        <w:t xml:space="preserve">Програма II Фази </w:t>
      </w:r>
      <w:r w:rsidR="00DB119B">
        <w:rPr>
          <w:rFonts w:ascii="Arial" w:hAnsi="Arial" w:cs="Arial"/>
          <w:color w:val="000000"/>
          <w:lang w:val="uk-UA"/>
        </w:rPr>
        <w:t xml:space="preserve">випробування </w:t>
      </w:r>
      <w:r w:rsidR="00DB119B" w:rsidRPr="00820649">
        <w:rPr>
          <w:rFonts w:ascii="Arial" w:hAnsi="Arial" w:cs="Arial"/>
          <w:color w:val="000000"/>
          <w:lang w:val="uk-UA"/>
        </w:rPr>
        <w:t xml:space="preserve">бедаквіліну </w:t>
      </w:r>
      <w:r w:rsidRPr="00820649">
        <w:rPr>
          <w:rFonts w:ascii="Arial" w:hAnsi="Arial" w:cs="Arial"/>
          <w:color w:val="000000"/>
          <w:lang w:val="uk-UA"/>
        </w:rPr>
        <w:t>вклю</w:t>
      </w:r>
      <w:r w:rsidR="00DB119B">
        <w:rPr>
          <w:rFonts w:ascii="Arial" w:hAnsi="Arial" w:cs="Arial"/>
          <w:color w:val="000000"/>
          <w:lang w:val="uk-UA"/>
        </w:rPr>
        <w:t>чала два клінічних виробування Фази IIb : C208 та C209. Випробування C208 складалось</w:t>
      </w:r>
      <w:r w:rsidRPr="00820649">
        <w:rPr>
          <w:rFonts w:ascii="Arial" w:hAnsi="Arial" w:cs="Arial"/>
          <w:color w:val="000000"/>
          <w:lang w:val="uk-UA"/>
        </w:rPr>
        <w:t xml:space="preserve"> з двох етапів, з яких 1-й етап </w:t>
      </w:r>
      <w:r>
        <w:rPr>
          <w:rFonts w:ascii="Arial" w:hAnsi="Arial" w:cs="Arial"/>
          <w:color w:val="000000"/>
          <w:lang w:val="uk-UA"/>
        </w:rPr>
        <w:t>– це пошукові дослідження</w:t>
      </w:r>
      <w:r w:rsidRPr="00820649">
        <w:rPr>
          <w:rFonts w:ascii="Arial" w:hAnsi="Arial" w:cs="Arial"/>
          <w:color w:val="000000"/>
          <w:lang w:val="uk-UA"/>
        </w:rPr>
        <w:t>, а 2-й етап</w:t>
      </w:r>
      <w:r w:rsidR="007E0560">
        <w:rPr>
          <w:rFonts w:ascii="Arial" w:hAnsi="Arial" w:cs="Arial"/>
          <w:color w:val="000000"/>
          <w:lang w:val="uk-UA"/>
        </w:rPr>
        <w:t xml:space="preserve">ом було багатоцентрове, стратифіковане, рандомізоване, подвійне сліпе </w:t>
      </w:r>
      <w:r w:rsidRPr="00820649">
        <w:rPr>
          <w:rFonts w:ascii="Arial" w:hAnsi="Arial" w:cs="Arial"/>
          <w:color w:val="000000"/>
          <w:lang w:val="uk-UA"/>
        </w:rPr>
        <w:t>плацебо-кон</w:t>
      </w:r>
      <w:r w:rsidR="007E0560">
        <w:rPr>
          <w:rFonts w:ascii="Arial" w:hAnsi="Arial" w:cs="Arial"/>
          <w:color w:val="000000"/>
          <w:lang w:val="uk-UA"/>
        </w:rPr>
        <w:t xml:space="preserve">трольоване </w:t>
      </w:r>
      <w:r w:rsidR="00A16681">
        <w:rPr>
          <w:rFonts w:ascii="Arial" w:hAnsi="Arial" w:cs="Arial"/>
          <w:color w:val="000000"/>
          <w:lang w:val="uk-UA"/>
        </w:rPr>
        <w:t>дослідження</w:t>
      </w:r>
      <w:r w:rsidR="007E0560">
        <w:rPr>
          <w:rFonts w:ascii="Arial" w:hAnsi="Arial" w:cs="Arial"/>
          <w:color w:val="000000"/>
          <w:lang w:val="uk-UA"/>
        </w:rPr>
        <w:t>м, яке слугувало як базове</w:t>
      </w:r>
      <w:r w:rsidRPr="00820649">
        <w:rPr>
          <w:rFonts w:ascii="Arial" w:hAnsi="Arial" w:cs="Arial"/>
          <w:color w:val="000000"/>
          <w:lang w:val="uk-UA"/>
        </w:rPr>
        <w:t xml:space="preserve"> </w:t>
      </w:r>
      <w:r w:rsidR="007E0560">
        <w:rPr>
          <w:rFonts w:ascii="Arial" w:hAnsi="Arial" w:cs="Arial"/>
          <w:color w:val="000000"/>
          <w:lang w:val="uk-UA"/>
        </w:rPr>
        <w:t xml:space="preserve">дослідження </w:t>
      </w:r>
      <w:r w:rsidRPr="00820649">
        <w:rPr>
          <w:rFonts w:ascii="Arial" w:hAnsi="Arial" w:cs="Arial"/>
          <w:color w:val="000000"/>
          <w:lang w:val="uk-UA"/>
        </w:rPr>
        <w:t>підтвер</w:t>
      </w:r>
      <w:r w:rsidR="007E0560">
        <w:rPr>
          <w:rFonts w:ascii="Arial" w:hAnsi="Arial" w:cs="Arial"/>
          <w:color w:val="000000"/>
          <w:lang w:val="uk-UA"/>
        </w:rPr>
        <w:t>дження</w:t>
      </w:r>
      <w:r w:rsidR="00B97B2B">
        <w:rPr>
          <w:rFonts w:ascii="Arial" w:hAnsi="Arial" w:cs="Arial"/>
          <w:color w:val="000000"/>
          <w:lang w:val="uk-UA"/>
        </w:rPr>
        <w:t xml:space="preserve"> ефективності препарату</w:t>
      </w:r>
      <w:r w:rsidRPr="00820649">
        <w:rPr>
          <w:rFonts w:ascii="Arial" w:hAnsi="Arial" w:cs="Arial"/>
          <w:color w:val="000000"/>
          <w:lang w:val="uk-UA"/>
        </w:rPr>
        <w:t xml:space="preserve">. Дослідження C209 - </w:t>
      </w:r>
      <w:r w:rsidRPr="00B97B2B">
        <w:rPr>
          <w:rFonts w:ascii="Arial" w:hAnsi="Arial" w:cs="Arial"/>
          <w:color w:val="000000"/>
          <w:lang w:val="uk-UA"/>
        </w:rPr>
        <w:t xml:space="preserve">це </w:t>
      </w:r>
      <w:r w:rsidR="00B97B2B" w:rsidRPr="00B97B2B">
        <w:rPr>
          <w:rFonts w:ascii="Arial" w:hAnsi="Arial" w:cs="Arial"/>
          <w:color w:val="000000"/>
          <w:lang w:val="uk-UA"/>
        </w:rPr>
        <w:t>просте</w:t>
      </w:r>
      <w:r w:rsidRPr="00B97B2B">
        <w:rPr>
          <w:rFonts w:ascii="Arial" w:hAnsi="Arial" w:cs="Arial"/>
          <w:color w:val="000000"/>
          <w:lang w:val="uk-UA"/>
        </w:rPr>
        <w:t xml:space="preserve"> відкрите дослідження</w:t>
      </w:r>
      <w:r w:rsidRPr="00820649">
        <w:rPr>
          <w:rFonts w:ascii="Arial" w:hAnsi="Arial" w:cs="Arial"/>
          <w:color w:val="000000"/>
          <w:lang w:val="uk-UA"/>
        </w:rPr>
        <w:t xml:space="preserve"> (</w:t>
      </w:r>
      <w:r w:rsidR="00B97B2B">
        <w:rPr>
          <w:rFonts w:ascii="Arial" w:hAnsi="Arial" w:cs="Arial"/>
          <w:color w:val="000000"/>
          <w:lang w:val="uk-UA"/>
        </w:rPr>
        <w:t>що триває</w:t>
      </w:r>
      <w:r w:rsidRPr="00820649">
        <w:rPr>
          <w:rFonts w:ascii="Arial" w:hAnsi="Arial" w:cs="Arial"/>
          <w:color w:val="000000"/>
          <w:lang w:val="uk-UA"/>
        </w:rPr>
        <w:t>).</w:t>
      </w:r>
      <w:r>
        <w:rPr>
          <w:rFonts w:ascii="Arial" w:hAnsi="Arial" w:cs="Arial"/>
          <w:color w:val="000000"/>
          <w:lang w:val="uk-UA"/>
        </w:rPr>
        <w:t xml:space="preserve"> </w:t>
      </w:r>
    </w:p>
    <w:p w14:paraId="402A64E9" w14:textId="77777777" w:rsidR="00E568A1" w:rsidRPr="00AC042B" w:rsidRDefault="00E568A1" w:rsidP="0037724F">
      <w:pPr>
        <w:autoSpaceDE w:val="0"/>
        <w:autoSpaceDN w:val="0"/>
        <w:adjustRightInd w:val="0"/>
        <w:spacing w:after="0" w:line="240" w:lineRule="auto"/>
        <w:jc w:val="both"/>
        <w:rPr>
          <w:rFonts w:ascii="Arial" w:hAnsi="Arial" w:cs="Arial"/>
          <w:b/>
          <w:bCs/>
          <w:color w:val="6A2041"/>
          <w:sz w:val="24"/>
          <w:szCs w:val="24"/>
          <w:lang w:val="uk-UA"/>
        </w:rPr>
      </w:pPr>
    </w:p>
    <w:p w14:paraId="356E0A2C" w14:textId="51DB3C77" w:rsidR="00E568A1" w:rsidRPr="00AC042B"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AC042B">
        <w:rPr>
          <w:rFonts w:ascii="Arial" w:hAnsi="Arial" w:cs="Arial"/>
          <w:b/>
          <w:bCs/>
          <w:color w:val="6A2041"/>
          <w:sz w:val="28"/>
          <w:szCs w:val="28"/>
          <w:lang w:val="uk-UA"/>
        </w:rPr>
        <w:t>4.1. Док</w:t>
      </w:r>
      <w:r w:rsidR="00AC042B">
        <w:rPr>
          <w:rFonts w:ascii="Arial" w:hAnsi="Arial" w:cs="Arial"/>
          <w:b/>
          <w:bCs/>
          <w:color w:val="6A2041"/>
          <w:sz w:val="28"/>
          <w:szCs w:val="28"/>
          <w:lang w:val="uk-UA"/>
        </w:rPr>
        <w:t>ази ефективності бедаквіліну у</w:t>
      </w:r>
      <w:r w:rsidRPr="00AC042B">
        <w:rPr>
          <w:rFonts w:ascii="Arial" w:hAnsi="Arial" w:cs="Arial"/>
          <w:b/>
          <w:bCs/>
          <w:color w:val="6A2041"/>
          <w:sz w:val="28"/>
          <w:szCs w:val="28"/>
          <w:lang w:val="uk-UA"/>
        </w:rPr>
        <w:t xml:space="preserve"> лікуванні </w:t>
      </w:r>
      <w:r w:rsidR="009B51D9" w:rsidRPr="00AC042B">
        <w:rPr>
          <w:rFonts w:ascii="Arial" w:hAnsi="Arial" w:cs="Arial"/>
          <w:b/>
          <w:bCs/>
          <w:color w:val="6A2041"/>
          <w:sz w:val="28"/>
          <w:szCs w:val="28"/>
          <w:lang w:val="uk-UA"/>
        </w:rPr>
        <w:t>МР ТБ</w:t>
      </w:r>
    </w:p>
    <w:p w14:paraId="5989176B" w14:textId="77777777" w:rsidR="00E568A1" w:rsidRPr="00506777"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p w14:paraId="7B54511D" w14:textId="0E6DD797" w:rsidR="00E568A1" w:rsidRPr="00CA5627" w:rsidRDefault="002038BF" w:rsidP="0037724F">
      <w:pPr>
        <w:autoSpaceDE w:val="0"/>
        <w:autoSpaceDN w:val="0"/>
        <w:adjustRightInd w:val="0"/>
        <w:spacing w:after="0" w:line="240" w:lineRule="auto"/>
        <w:jc w:val="both"/>
        <w:rPr>
          <w:rFonts w:ascii="Arial" w:hAnsi="Arial" w:cs="Arial"/>
          <w:color w:val="000000"/>
        </w:rPr>
      </w:pPr>
      <w:r>
        <w:rPr>
          <w:rFonts w:ascii="Arial" w:hAnsi="Arial" w:cs="Arial"/>
          <w:color w:val="000000"/>
          <w:lang w:val="uk-UA"/>
        </w:rPr>
        <w:t>Докази ефективності, зібрані</w:t>
      </w:r>
      <w:r w:rsidR="00E568A1" w:rsidRPr="000F082D">
        <w:rPr>
          <w:rFonts w:ascii="Arial" w:hAnsi="Arial" w:cs="Arial"/>
          <w:color w:val="000000"/>
          <w:lang w:val="uk-UA"/>
        </w:rPr>
        <w:t xml:space="preserve"> з випробувань </w:t>
      </w:r>
      <w:r w:rsidR="00E568A1" w:rsidRPr="000F082D">
        <w:rPr>
          <w:rFonts w:ascii="Arial" w:hAnsi="Arial" w:cs="Arial"/>
          <w:color w:val="000000"/>
          <w:lang w:val="en-US"/>
        </w:rPr>
        <w:t>C</w:t>
      </w:r>
      <w:r w:rsidR="00E568A1" w:rsidRPr="000F082D">
        <w:rPr>
          <w:rFonts w:ascii="Arial" w:hAnsi="Arial" w:cs="Arial"/>
          <w:color w:val="000000"/>
          <w:lang w:val="uk-UA"/>
        </w:rPr>
        <w:t xml:space="preserve">208 2-го етапу, </w:t>
      </w:r>
      <w:r>
        <w:rPr>
          <w:rFonts w:ascii="Arial" w:hAnsi="Arial" w:cs="Arial"/>
          <w:color w:val="000000"/>
          <w:lang w:val="uk-UA"/>
        </w:rPr>
        <w:t>до якого були залучені пацієнти</w:t>
      </w:r>
      <w:r w:rsidR="00E568A1" w:rsidRPr="000F082D">
        <w:rPr>
          <w:rFonts w:ascii="Arial" w:hAnsi="Arial" w:cs="Arial"/>
          <w:color w:val="000000"/>
          <w:lang w:val="uk-UA"/>
        </w:rPr>
        <w:t xml:space="preserve"> віком від 18 до 65 років з нещодавно діагностованим </w:t>
      </w:r>
      <w:r w:rsidR="009B51D9">
        <w:rPr>
          <w:rFonts w:ascii="Arial" w:hAnsi="Arial" w:cs="Arial"/>
          <w:color w:val="000000"/>
          <w:lang w:val="uk-UA"/>
        </w:rPr>
        <w:t>МР ТБ</w:t>
      </w:r>
      <w:r>
        <w:rPr>
          <w:rFonts w:ascii="Arial" w:hAnsi="Arial" w:cs="Arial"/>
          <w:color w:val="000000"/>
          <w:lang w:val="uk-UA"/>
        </w:rPr>
        <w:t xml:space="preserve">, </w:t>
      </w:r>
      <w:r w:rsidR="00BC37B2">
        <w:rPr>
          <w:rFonts w:ascii="Arial" w:hAnsi="Arial" w:cs="Arial"/>
          <w:color w:val="000000"/>
          <w:lang w:val="uk-UA"/>
        </w:rPr>
        <w:t xml:space="preserve">і які були рандомізовані у співвідношенні 1:1 </w:t>
      </w:r>
      <w:r w:rsidR="00E568A1" w:rsidRPr="000F082D">
        <w:rPr>
          <w:rFonts w:ascii="Arial" w:hAnsi="Arial" w:cs="Arial"/>
          <w:color w:val="000000"/>
          <w:lang w:val="uk-UA"/>
        </w:rPr>
        <w:t>(пацієнти з 15 сайтів, розміщених у Бразилії, Індії, Латвії, Перу, на Філіппінах, Російській Федерації, Пі</w:t>
      </w:r>
      <w:r w:rsidR="00BC37B2">
        <w:rPr>
          <w:rFonts w:ascii="Arial" w:hAnsi="Arial" w:cs="Arial"/>
          <w:color w:val="000000"/>
          <w:lang w:val="uk-UA"/>
        </w:rPr>
        <w:t>вденній Африці та Таїланді) та отримували</w:t>
      </w:r>
      <w:r w:rsidR="00A16681">
        <w:rPr>
          <w:rFonts w:ascii="Arial" w:hAnsi="Arial" w:cs="Arial"/>
          <w:color w:val="000000"/>
          <w:lang w:val="uk-UA"/>
        </w:rPr>
        <w:t xml:space="preserve"> </w:t>
      </w:r>
      <w:r w:rsidR="00E568A1" w:rsidRPr="000F082D">
        <w:rPr>
          <w:rFonts w:ascii="Arial" w:hAnsi="Arial" w:cs="Arial"/>
          <w:color w:val="000000"/>
          <w:lang w:val="uk-UA"/>
        </w:rPr>
        <w:t>400 мг бедаквіліну або плацебо протягом перших двох тижнів, а потім по 200 мг бедаквіліну або плацебо тричі на тиждень протягом решти 22 тижнів.</w:t>
      </w:r>
      <w:r w:rsidR="00E568A1" w:rsidRPr="00481E66">
        <w:rPr>
          <w:rFonts w:ascii="Arial" w:hAnsi="Arial" w:cs="Arial"/>
          <w:b/>
          <w:color w:val="000000"/>
          <w:vertAlign w:val="superscript"/>
          <w:lang w:val="uk-UA"/>
        </w:rPr>
        <w:t>15</w:t>
      </w:r>
      <w:r w:rsidR="00BC37B2">
        <w:rPr>
          <w:rFonts w:ascii="Arial" w:hAnsi="Arial" w:cs="Arial"/>
          <w:color w:val="000000"/>
          <w:lang w:val="uk-UA"/>
        </w:rPr>
        <w:t xml:space="preserve"> </w:t>
      </w:r>
      <w:r w:rsidR="00E568A1" w:rsidRPr="00CA5627">
        <w:rPr>
          <w:rFonts w:ascii="Arial" w:hAnsi="Arial" w:cs="Arial"/>
          <w:color w:val="000000"/>
          <w:lang w:val="uk-UA"/>
        </w:rPr>
        <w:t>В обох групах бедаквіліну та плацебо, пацієнти отрим</w:t>
      </w:r>
      <w:r w:rsidR="00BC37B2">
        <w:rPr>
          <w:rFonts w:ascii="Arial" w:hAnsi="Arial" w:cs="Arial"/>
          <w:color w:val="000000"/>
          <w:lang w:val="uk-UA"/>
        </w:rPr>
        <w:t>ув</w:t>
      </w:r>
      <w:r w:rsidR="00E568A1" w:rsidRPr="00CA5627">
        <w:rPr>
          <w:rFonts w:ascii="Arial" w:hAnsi="Arial" w:cs="Arial"/>
          <w:color w:val="000000"/>
          <w:lang w:val="uk-UA"/>
        </w:rPr>
        <w:t xml:space="preserve">али режим фонового медикаментозного лікування </w:t>
      </w:r>
      <w:r w:rsidR="009B51D9">
        <w:rPr>
          <w:rFonts w:ascii="Arial" w:hAnsi="Arial" w:cs="Arial"/>
          <w:color w:val="000000"/>
          <w:lang w:val="uk-UA"/>
        </w:rPr>
        <w:t>МР ТБ</w:t>
      </w:r>
      <w:r w:rsidR="00E568A1" w:rsidRPr="00CA5627">
        <w:rPr>
          <w:rFonts w:ascii="Arial" w:hAnsi="Arial" w:cs="Arial"/>
          <w:color w:val="000000"/>
          <w:lang w:val="uk-UA"/>
        </w:rPr>
        <w:t>, який включав 5 препаратів: фторхінолони (в основному офлоксацин), аміноглікозиди (головним чином канаміцин), піразинамід, еті</w:t>
      </w:r>
      <w:r w:rsidR="00BC37B2">
        <w:rPr>
          <w:rFonts w:ascii="Arial" w:hAnsi="Arial" w:cs="Arial"/>
          <w:color w:val="000000"/>
          <w:lang w:val="uk-UA"/>
        </w:rPr>
        <w:t>онамід, етамбутол та циклосерин/</w:t>
      </w:r>
      <w:r w:rsidR="00E568A1" w:rsidRPr="00CA5627">
        <w:rPr>
          <w:rFonts w:ascii="Arial" w:hAnsi="Arial" w:cs="Arial"/>
          <w:color w:val="000000"/>
          <w:lang w:val="uk-UA"/>
        </w:rPr>
        <w:t xml:space="preserve">теразидон в різних комбінаціях. </w:t>
      </w:r>
      <w:r w:rsidR="00E568A1" w:rsidRPr="00CA5627">
        <w:rPr>
          <w:rFonts w:ascii="Arial" w:hAnsi="Arial" w:cs="Arial"/>
          <w:color w:val="000000"/>
        </w:rPr>
        <w:t xml:space="preserve">Через 24 тижні суб'єкти продовжували фоновий режим терапії </w:t>
      </w:r>
      <w:r w:rsidR="009B51D9">
        <w:rPr>
          <w:rFonts w:ascii="Arial" w:hAnsi="Arial" w:cs="Arial"/>
          <w:color w:val="000000"/>
        </w:rPr>
        <w:t>МР ТБ</w:t>
      </w:r>
      <w:r w:rsidR="00E568A1" w:rsidRPr="00CA5627">
        <w:rPr>
          <w:rFonts w:ascii="Arial" w:hAnsi="Arial" w:cs="Arial"/>
          <w:color w:val="000000"/>
        </w:rPr>
        <w:t xml:space="preserve"> доти, поки загальна тривалість лікування не досягла 96 тижнів. Загальна тривалість дослідження становила 120 тижнів. Всі</w:t>
      </w:r>
      <w:r w:rsidR="00122357">
        <w:rPr>
          <w:rFonts w:ascii="Arial" w:hAnsi="Arial" w:cs="Arial"/>
          <w:color w:val="000000"/>
        </w:rPr>
        <w:t xml:space="preserve"> пацієнти, які представлені у сукупності</w:t>
      </w:r>
      <w:r w:rsidR="00E568A1" w:rsidRPr="00CA5627">
        <w:rPr>
          <w:rFonts w:ascii="Arial" w:hAnsi="Arial" w:cs="Arial"/>
          <w:color w:val="000000"/>
        </w:rPr>
        <w:t xml:space="preserve"> даних, завершили 72-тижневий курс (попередньо визначена </w:t>
      </w:r>
      <w:r w:rsidR="00122357" w:rsidRPr="00122357">
        <w:rPr>
          <w:rFonts w:ascii="Arial" w:hAnsi="Arial" w:cs="Arial"/>
          <w:color w:val="000000"/>
        </w:rPr>
        <w:t xml:space="preserve">гранична точка </w:t>
      </w:r>
      <w:r w:rsidR="00E568A1" w:rsidRPr="00CA5627">
        <w:rPr>
          <w:rFonts w:ascii="Arial" w:hAnsi="Arial" w:cs="Arial"/>
          <w:color w:val="000000"/>
        </w:rPr>
        <w:t>даних дослідження), а також 120-тижневий курс (кінець дослідження).</w:t>
      </w:r>
    </w:p>
    <w:p w14:paraId="6CB8BF4B" w14:textId="77777777" w:rsidR="00E568A1" w:rsidRPr="00506777" w:rsidRDefault="00E568A1" w:rsidP="0037724F">
      <w:pPr>
        <w:autoSpaceDE w:val="0"/>
        <w:autoSpaceDN w:val="0"/>
        <w:adjustRightInd w:val="0"/>
        <w:spacing w:after="0" w:line="240" w:lineRule="auto"/>
        <w:jc w:val="both"/>
        <w:rPr>
          <w:rFonts w:ascii="Arial" w:hAnsi="Arial" w:cs="Arial"/>
          <w:color w:val="000000"/>
          <w:sz w:val="16"/>
          <w:szCs w:val="16"/>
        </w:rPr>
      </w:pPr>
    </w:p>
    <w:p w14:paraId="068F8088" w14:textId="6AA1DF6F" w:rsidR="00E568A1" w:rsidRPr="009D5863" w:rsidRDefault="00AC042B" w:rsidP="009D5863">
      <w:pPr>
        <w:widowControl w:val="0"/>
        <w:autoSpaceDE w:val="0"/>
        <w:autoSpaceDN w:val="0"/>
        <w:adjustRightInd w:val="0"/>
        <w:spacing w:after="240" w:line="240" w:lineRule="auto"/>
        <w:rPr>
          <w:rFonts w:ascii="Georgia" w:hAnsi="Georgia" w:cs="Times"/>
          <w:b/>
          <w:color w:val="000000" w:themeColor="text1"/>
          <w:sz w:val="28"/>
          <w:szCs w:val="28"/>
          <w:lang w:val="en-US"/>
        </w:rPr>
      </w:pPr>
      <w:r>
        <w:rPr>
          <w:rFonts w:ascii="Arial" w:hAnsi="Arial" w:cs="Arial"/>
          <w:b/>
          <w:i/>
          <w:color w:val="000000"/>
        </w:rPr>
        <w:t>Головним</w:t>
      </w:r>
      <w:r w:rsidR="006A3EA2" w:rsidRPr="00D1777E">
        <w:rPr>
          <w:rFonts w:ascii="Arial" w:hAnsi="Arial" w:cs="Arial"/>
          <w:b/>
          <w:i/>
          <w:color w:val="000000"/>
        </w:rPr>
        <w:t xml:space="preserve"> показником ефективності </w:t>
      </w:r>
      <w:r w:rsidR="00A16681" w:rsidRPr="00D1777E">
        <w:rPr>
          <w:rFonts w:ascii="Arial" w:hAnsi="Arial" w:cs="Arial"/>
          <w:b/>
          <w:i/>
          <w:color w:val="000000"/>
          <w:lang w:val="uk-UA"/>
        </w:rPr>
        <w:t xml:space="preserve">дослідження </w:t>
      </w:r>
      <w:r w:rsidR="00E568A1" w:rsidRPr="00D1777E">
        <w:rPr>
          <w:rFonts w:ascii="Arial" w:hAnsi="Arial" w:cs="Arial"/>
          <w:b/>
          <w:i/>
          <w:color w:val="000000"/>
          <w:lang w:val="en-US"/>
        </w:rPr>
        <w:t>C</w:t>
      </w:r>
      <w:r w:rsidR="006A3EA2" w:rsidRPr="00D1777E">
        <w:rPr>
          <w:rFonts w:ascii="Arial" w:hAnsi="Arial" w:cs="Arial"/>
          <w:b/>
          <w:i/>
          <w:color w:val="000000"/>
        </w:rPr>
        <w:t>208, 2 етап випробування став час конверсії</w:t>
      </w:r>
      <w:r w:rsidR="00E568A1" w:rsidRPr="00D1777E">
        <w:rPr>
          <w:rFonts w:ascii="Arial" w:hAnsi="Arial" w:cs="Arial"/>
          <w:b/>
          <w:i/>
          <w:color w:val="000000"/>
        </w:rPr>
        <w:t xml:space="preserve"> культури мокротиння</w:t>
      </w:r>
      <w:r w:rsidR="00E568A1" w:rsidRPr="00D1777E">
        <w:rPr>
          <w:rFonts w:ascii="Arial" w:hAnsi="Arial" w:cs="Arial"/>
          <w:b/>
          <w:i/>
          <w:color w:val="000000"/>
          <w:vertAlign w:val="superscript"/>
        </w:rPr>
        <w:t>16</w:t>
      </w:r>
      <w:r w:rsidR="006A3EA2">
        <w:rPr>
          <w:rFonts w:ascii="Arial" w:hAnsi="Arial" w:cs="Arial"/>
          <w:color w:val="000000"/>
        </w:rPr>
        <w:t xml:space="preserve"> на комерційній рідкій культурі</w:t>
      </w:r>
      <w:r w:rsidR="00E568A1" w:rsidRPr="0054435A">
        <w:rPr>
          <w:rFonts w:ascii="Arial" w:hAnsi="Arial" w:cs="Arial"/>
          <w:color w:val="000000"/>
        </w:rPr>
        <w:t xml:space="preserve"> (</w:t>
      </w:r>
      <w:r w:rsidR="00E568A1" w:rsidRPr="0054435A">
        <w:rPr>
          <w:rFonts w:ascii="Arial" w:hAnsi="Arial" w:cs="Arial"/>
          <w:color w:val="000000"/>
          <w:lang w:val="en-US"/>
        </w:rPr>
        <w:t>MgIT</w:t>
      </w:r>
      <w:r w:rsidR="00E568A1" w:rsidRPr="0054435A">
        <w:rPr>
          <w:rFonts w:ascii="Arial" w:hAnsi="Arial" w:cs="Arial"/>
          <w:color w:val="000000"/>
        </w:rPr>
        <w:t xml:space="preserve"> ™ 960 Система виявлення мікобактерій, </w:t>
      </w:r>
      <w:r w:rsidR="006A3EA2" w:rsidRPr="0054435A">
        <w:rPr>
          <w:rFonts w:ascii="Arial" w:hAnsi="Arial" w:cs="Arial"/>
          <w:color w:val="000000"/>
        </w:rPr>
        <w:t>Діагностичні Системи</w:t>
      </w:r>
      <w:r w:rsidR="006A3EA2" w:rsidRPr="0054435A">
        <w:rPr>
          <w:rFonts w:ascii="Arial" w:hAnsi="Arial" w:cs="Arial"/>
          <w:color w:val="000000"/>
          <w:lang w:val="en-US"/>
        </w:rPr>
        <w:t xml:space="preserve"> </w:t>
      </w:r>
      <w:r w:rsidR="00E568A1" w:rsidRPr="0054435A">
        <w:rPr>
          <w:rFonts w:ascii="Arial" w:hAnsi="Arial" w:cs="Arial"/>
          <w:color w:val="000000"/>
          <w:lang w:val="en-US"/>
        </w:rPr>
        <w:t>Becton</w:t>
      </w:r>
      <w:r w:rsidR="00E568A1" w:rsidRPr="0054435A">
        <w:rPr>
          <w:rFonts w:ascii="Arial" w:hAnsi="Arial" w:cs="Arial"/>
          <w:color w:val="000000"/>
        </w:rPr>
        <w:t xml:space="preserve"> </w:t>
      </w:r>
      <w:r w:rsidR="00E568A1" w:rsidRPr="0054435A">
        <w:rPr>
          <w:rFonts w:ascii="Arial" w:hAnsi="Arial" w:cs="Arial"/>
          <w:color w:val="000000"/>
          <w:lang w:val="en-US"/>
        </w:rPr>
        <w:t>Dickinson</w:t>
      </w:r>
      <w:r w:rsidR="00E568A1" w:rsidRPr="0054435A">
        <w:rPr>
          <w:rFonts w:ascii="Arial" w:hAnsi="Arial" w:cs="Arial"/>
          <w:color w:val="000000"/>
        </w:rPr>
        <w:t>, США) протягом 24-тижневого досліджуваного пе</w:t>
      </w:r>
      <w:r w:rsidR="006A3EA2">
        <w:rPr>
          <w:rFonts w:ascii="Arial" w:hAnsi="Arial" w:cs="Arial"/>
          <w:color w:val="000000"/>
        </w:rPr>
        <w:t>ріоду лікування, який оцінювався</w:t>
      </w:r>
      <w:r w:rsidR="00E568A1" w:rsidRPr="0054435A">
        <w:rPr>
          <w:rFonts w:ascii="Arial" w:hAnsi="Arial" w:cs="Arial"/>
          <w:color w:val="000000"/>
        </w:rPr>
        <w:t xml:space="preserve"> після того, як всі пацієнти завершили 24-тижневий період лікування в рамках дослідження, або </w:t>
      </w:r>
      <w:r w:rsidR="00A16681">
        <w:rPr>
          <w:rFonts w:ascii="Arial" w:hAnsi="Arial" w:cs="Arial"/>
          <w:color w:val="000000"/>
          <w:lang w:val="uk-UA"/>
        </w:rPr>
        <w:t xml:space="preserve">курс </w:t>
      </w:r>
      <w:r w:rsidR="00E568A1" w:rsidRPr="0054435A">
        <w:rPr>
          <w:rFonts w:ascii="Arial" w:hAnsi="Arial" w:cs="Arial"/>
          <w:color w:val="000000"/>
        </w:rPr>
        <w:t xml:space="preserve">припинили раніше. </w:t>
      </w:r>
      <w:r w:rsidR="006A3EA2" w:rsidRPr="006D14EE">
        <w:rPr>
          <w:rFonts w:ascii="Arial" w:hAnsi="Arial" w:cs="Arial"/>
          <w:color w:val="000000"/>
        </w:rPr>
        <w:t xml:space="preserve">В </w:t>
      </w:r>
      <w:r w:rsidR="00CA4E3E">
        <w:rPr>
          <w:rFonts w:ascii="Arial" w:hAnsi="Arial" w:cs="Arial"/>
          <w:color w:val="000000"/>
        </w:rPr>
        <w:t>первинному</w:t>
      </w:r>
      <w:r w:rsidR="006A3EA2" w:rsidRPr="006D14EE">
        <w:rPr>
          <w:rFonts w:ascii="Arial" w:hAnsi="Arial" w:cs="Arial"/>
          <w:color w:val="000000"/>
        </w:rPr>
        <w:t xml:space="preserve"> аналізі ефективності</w:t>
      </w:r>
      <w:r w:rsidR="00E568A1" w:rsidRPr="006D14EE">
        <w:rPr>
          <w:rFonts w:ascii="Arial" w:hAnsi="Arial" w:cs="Arial"/>
          <w:color w:val="000000"/>
        </w:rPr>
        <w:t xml:space="preserve">, </w:t>
      </w:r>
      <w:r w:rsidR="006A3EA2" w:rsidRPr="006D14EE">
        <w:rPr>
          <w:rFonts w:ascii="Arial" w:hAnsi="Arial" w:cs="Arial"/>
          <w:color w:val="000000"/>
        </w:rPr>
        <w:t xml:space="preserve">учасники, </w:t>
      </w:r>
      <w:r w:rsidR="009D5863">
        <w:rPr>
          <w:rFonts w:ascii="Arial" w:hAnsi="Arial" w:cs="Arial"/>
          <w:color w:val="000000"/>
        </w:rPr>
        <w:t>які припинили ліку</w:t>
      </w:r>
      <w:r w:rsidR="006A3EA2" w:rsidRPr="006D14EE">
        <w:rPr>
          <w:rFonts w:ascii="Arial" w:hAnsi="Arial" w:cs="Arial"/>
          <w:color w:val="000000"/>
        </w:rPr>
        <w:t xml:space="preserve">вання до завершення 24 тижнів, вважалися такими, у кого не відбулося конверсії культури </w:t>
      </w:r>
      <w:r w:rsidR="006A3EA2" w:rsidRPr="00AC042B">
        <w:rPr>
          <w:rFonts w:ascii="Arial" w:hAnsi="Arial" w:cs="Arial"/>
          <w:color w:val="000000"/>
        </w:rPr>
        <w:t>(цензуровані</w:t>
      </w:r>
      <w:r w:rsidR="00E568A1" w:rsidRPr="00AC042B">
        <w:rPr>
          <w:rFonts w:ascii="Arial" w:hAnsi="Arial" w:cs="Arial"/>
          <w:color w:val="000000"/>
        </w:rPr>
        <w:t xml:space="preserve"> пі</w:t>
      </w:r>
      <w:r w:rsidR="006A3EA2" w:rsidRPr="00AC042B">
        <w:rPr>
          <w:rFonts w:ascii="Arial" w:hAnsi="Arial" w:cs="Arial"/>
          <w:color w:val="000000"/>
        </w:rPr>
        <w:t>д час останнього візиту</w:t>
      </w:r>
      <w:r w:rsidR="006D14EE" w:rsidRPr="00AC042B">
        <w:rPr>
          <w:rFonts w:ascii="Arial" w:hAnsi="Arial" w:cs="Arial"/>
          <w:color w:val="000000"/>
        </w:rPr>
        <w:t xml:space="preserve"> </w:t>
      </w:r>
      <w:r w:rsidRPr="00AC042B">
        <w:rPr>
          <w:rFonts w:ascii="Arial" w:hAnsi="Arial" w:cs="Arial"/>
          <w:color w:val="000000"/>
        </w:rPr>
        <w:t>первірки культури</w:t>
      </w:r>
      <w:r w:rsidR="006D14EE" w:rsidRPr="00AC042B">
        <w:rPr>
          <w:rFonts w:ascii="Arial" w:hAnsi="Arial" w:cs="Arial"/>
          <w:color w:val="000000"/>
        </w:rPr>
        <w:t xml:space="preserve">, </w:t>
      </w:r>
      <w:r w:rsidR="00E568A1" w:rsidRPr="00AC042B">
        <w:rPr>
          <w:rFonts w:ascii="Arial" w:hAnsi="Arial" w:cs="Arial"/>
          <w:color w:val="000000"/>
        </w:rPr>
        <w:t xml:space="preserve">відсутність = невдача). </w:t>
      </w:r>
      <w:r w:rsidR="00D919FF" w:rsidRPr="009D5863">
        <w:rPr>
          <w:rFonts w:ascii="Arial" w:hAnsi="Arial" w:cs="Arial"/>
          <w:color w:val="000000"/>
        </w:rPr>
        <w:t>Основний</w:t>
      </w:r>
      <w:r w:rsidR="00E568A1" w:rsidRPr="009D5863">
        <w:rPr>
          <w:rFonts w:ascii="Arial" w:hAnsi="Arial" w:cs="Arial"/>
          <w:color w:val="000000"/>
        </w:rPr>
        <w:t xml:space="preserve"> аналіз ефективн</w:t>
      </w:r>
      <w:r w:rsidR="00F377D2" w:rsidRPr="009D5863">
        <w:rPr>
          <w:rFonts w:ascii="Arial" w:hAnsi="Arial" w:cs="Arial"/>
          <w:color w:val="000000"/>
        </w:rPr>
        <w:t xml:space="preserve">ості базувався на </w:t>
      </w:r>
      <w:r w:rsidR="009D5863" w:rsidRPr="009D5863">
        <w:rPr>
          <w:rFonts w:ascii="Arial" w:hAnsi="Arial" w:cs="Arial"/>
          <w:color w:val="000000" w:themeColor="text1"/>
          <w:lang w:val="en-US"/>
        </w:rPr>
        <w:t xml:space="preserve">модифікованій популяції пацієнтів, які почали лікування </w:t>
      </w:r>
      <w:r w:rsidR="00E568A1" w:rsidRPr="009D5863">
        <w:rPr>
          <w:rFonts w:ascii="Arial" w:hAnsi="Arial" w:cs="Arial"/>
          <w:color w:val="000000"/>
        </w:rPr>
        <w:t>(</w:t>
      </w:r>
      <w:r w:rsidR="00E568A1" w:rsidRPr="009D5863">
        <w:rPr>
          <w:rFonts w:ascii="Arial" w:hAnsi="Arial" w:cs="Arial"/>
          <w:color w:val="000000"/>
          <w:lang w:val="en-US"/>
        </w:rPr>
        <w:t>mITT</w:t>
      </w:r>
      <w:r w:rsidR="00E568A1" w:rsidRPr="009D5863">
        <w:rPr>
          <w:rFonts w:ascii="Arial" w:hAnsi="Arial" w:cs="Arial"/>
          <w:color w:val="000000"/>
        </w:rPr>
        <w:t xml:space="preserve">), що </w:t>
      </w:r>
      <w:r w:rsidR="00F377D2" w:rsidRPr="009D5863">
        <w:rPr>
          <w:rFonts w:ascii="Arial" w:hAnsi="Arial" w:cs="Arial"/>
          <w:color w:val="000000"/>
          <w:lang w:val="uk-UA"/>
        </w:rPr>
        <w:t xml:space="preserve">передбачало </w:t>
      </w:r>
      <w:r w:rsidR="00F377D2" w:rsidRPr="009D5863">
        <w:rPr>
          <w:rFonts w:ascii="Arial" w:hAnsi="Arial" w:cs="Arial"/>
          <w:color w:val="000000"/>
        </w:rPr>
        <w:t>виключення</w:t>
      </w:r>
      <w:r w:rsidR="00E568A1" w:rsidRPr="009D5863">
        <w:rPr>
          <w:rFonts w:ascii="Arial" w:hAnsi="Arial" w:cs="Arial"/>
          <w:color w:val="000000"/>
        </w:rPr>
        <w:t xml:space="preserve"> суб'єктів з чутливим ТБ, </w:t>
      </w:r>
      <w:r w:rsidR="003229B4" w:rsidRPr="009D5863">
        <w:rPr>
          <w:rFonts w:ascii="Arial" w:hAnsi="Arial" w:cs="Arial"/>
          <w:color w:val="000000"/>
        </w:rPr>
        <w:t>РР ТБ</w:t>
      </w:r>
      <w:r w:rsidR="00E568A1" w:rsidRPr="009D5863">
        <w:rPr>
          <w:rFonts w:ascii="Arial" w:hAnsi="Arial" w:cs="Arial"/>
          <w:color w:val="000000"/>
        </w:rPr>
        <w:t xml:space="preserve"> або непідтвердженим чутливим ТБ (н</w:t>
      </w:r>
      <w:r w:rsidR="009D5863">
        <w:rPr>
          <w:rFonts w:ascii="Arial" w:hAnsi="Arial" w:cs="Arial"/>
          <w:color w:val="000000"/>
        </w:rPr>
        <w:t>а підставі тестів на чутливість</w:t>
      </w:r>
      <w:r w:rsidR="00E568A1" w:rsidRPr="009D5863">
        <w:rPr>
          <w:rFonts w:ascii="Arial" w:hAnsi="Arial" w:cs="Arial"/>
          <w:color w:val="000000"/>
        </w:rPr>
        <w:t xml:space="preserve">, проведених до рандомізації), або у яких були відсутні або негативні вихідні культури, або </w:t>
      </w:r>
      <w:r w:rsidR="00F377D2" w:rsidRPr="009D5863">
        <w:rPr>
          <w:rFonts w:ascii="Arial" w:hAnsi="Arial" w:cs="Arial"/>
          <w:color w:val="000000"/>
          <w:lang w:val="uk-UA"/>
        </w:rPr>
        <w:t xml:space="preserve">культури </w:t>
      </w:r>
      <w:r w:rsidR="00F377D2" w:rsidRPr="009D5863">
        <w:rPr>
          <w:rFonts w:ascii="Arial" w:hAnsi="Arial" w:cs="Arial"/>
          <w:color w:val="000000"/>
        </w:rPr>
        <w:t>яких</w:t>
      </w:r>
      <w:r w:rsidR="00E568A1" w:rsidRPr="009D5863">
        <w:rPr>
          <w:rFonts w:ascii="Arial" w:hAnsi="Arial" w:cs="Arial"/>
          <w:color w:val="000000"/>
        </w:rPr>
        <w:t xml:space="preserve"> </w:t>
      </w:r>
      <w:r w:rsidR="00600C5A">
        <w:rPr>
          <w:rFonts w:ascii="Arial" w:hAnsi="Arial" w:cs="Arial"/>
          <w:color w:val="000000"/>
        </w:rPr>
        <w:t>підтверджували</w:t>
      </w:r>
      <w:r w:rsidR="00600C5A" w:rsidRPr="00600C5A">
        <w:rPr>
          <w:rFonts w:ascii="Arial" w:hAnsi="Arial" w:cs="Arial"/>
          <w:color w:val="000000"/>
        </w:rPr>
        <w:t xml:space="preserve"> наявність інфекції на вихідному рівні</w:t>
      </w:r>
      <w:r w:rsidR="00E568A1" w:rsidRPr="009D5863">
        <w:rPr>
          <w:rFonts w:ascii="Arial" w:hAnsi="Arial" w:cs="Arial"/>
          <w:color w:val="000000"/>
        </w:rPr>
        <w:t xml:space="preserve">, але не мали </w:t>
      </w:r>
      <w:r w:rsidR="00600C5A">
        <w:rPr>
          <w:rFonts w:ascii="Arial" w:hAnsi="Arial" w:cs="Arial"/>
          <w:color w:val="000000"/>
        </w:rPr>
        <w:t xml:space="preserve">результатів </w:t>
      </w:r>
      <w:r w:rsidR="00600C5A" w:rsidRPr="009D5863">
        <w:rPr>
          <w:rFonts w:ascii="Arial" w:hAnsi="Arial" w:cs="Arial"/>
          <w:color w:val="000000"/>
        </w:rPr>
        <w:t>культури</w:t>
      </w:r>
      <w:r w:rsidR="00600C5A">
        <w:rPr>
          <w:rFonts w:ascii="Arial" w:hAnsi="Arial" w:cs="Arial"/>
          <w:color w:val="000000"/>
        </w:rPr>
        <w:t xml:space="preserve"> після вихідних культур</w:t>
      </w:r>
      <w:r w:rsidR="00E568A1" w:rsidRPr="009D5863">
        <w:rPr>
          <w:rFonts w:ascii="Arial" w:hAnsi="Arial" w:cs="Arial"/>
          <w:color w:val="000000"/>
        </w:rPr>
        <w:t xml:space="preserve">. </w:t>
      </w:r>
      <w:r w:rsidR="00F377D2" w:rsidRPr="009D5863">
        <w:rPr>
          <w:rFonts w:ascii="Arial" w:hAnsi="Arial" w:cs="Arial"/>
          <w:color w:val="000000"/>
        </w:rPr>
        <w:t>М</w:t>
      </w:r>
      <w:r w:rsidR="00F377D2" w:rsidRPr="009D5863">
        <w:rPr>
          <w:rFonts w:ascii="Arial" w:hAnsi="Arial" w:cs="Arial"/>
          <w:color w:val="000000"/>
          <w:lang w:val="uk-UA"/>
        </w:rPr>
        <w:t xml:space="preserve">одифікована </w:t>
      </w:r>
      <w:r w:rsidR="00600C5A">
        <w:rPr>
          <w:rFonts w:ascii="Arial" w:hAnsi="Arial" w:cs="Arial"/>
          <w:color w:val="000000" w:themeColor="text1"/>
          <w:lang w:val="en-US"/>
        </w:rPr>
        <w:t>популяція</w:t>
      </w:r>
      <w:r w:rsidR="00600C5A" w:rsidRPr="009D5863">
        <w:rPr>
          <w:rFonts w:ascii="Arial" w:hAnsi="Arial" w:cs="Arial"/>
          <w:color w:val="000000" w:themeColor="text1"/>
          <w:lang w:val="en-US"/>
        </w:rPr>
        <w:t xml:space="preserve"> пацієнтів, які почали лікування </w:t>
      </w:r>
      <w:r w:rsidR="00600C5A">
        <w:rPr>
          <w:rFonts w:ascii="Arial" w:hAnsi="Arial" w:cs="Arial"/>
          <w:color w:val="000000"/>
        </w:rPr>
        <w:t>складалася з 132 учасників</w:t>
      </w:r>
      <w:r w:rsidR="00E568A1" w:rsidRPr="009D5863">
        <w:rPr>
          <w:rFonts w:ascii="Arial" w:hAnsi="Arial" w:cs="Arial"/>
          <w:color w:val="000000"/>
        </w:rPr>
        <w:t xml:space="preserve"> (по 66 у кожній групі бедаквіліну та плацебо).</w:t>
      </w:r>
    </w:p>
    <w:p w14:paraId="2A840937" w14:textId="21FF5B3C" w:rsidR="00E56B3D" w:rsidRPr="00C3617A" w:rsidRDefault="00E568A1" w:rsidP="00911BE5">
      <w:pPr>
        <w:autoSpaceDE w:val="0"/>
        <w:autoSpaceDN w:val="0"/>
        <w:adjustRightInd w:val="0"/>
        <w:spacing w:after="0" w:line="240" w:lineRule="auto"/>
        <w:jc w:val="both"/>
        <w:rPr>
          <w:rFonts w:ascii="Arial" w:hAnsi="Arial" w:cs="Arial"/>
          <w:color w:val="000000"/>
        </w:rPr>
      </w:pPr>
      <w:r w:rsidRPr="00C3617A">
        <w:rPr>
          <w:rFonts w:ascii="Arial" w:hAnsi="Arial" w:cs="Arial"/>
          <w:color w:val="000000"/>
        </w:rPr>
        <w:t>Середній час конверсії</w:t>
      </w:r>
      <w:r w:rsidR="00AC042B">
        <w:rPr>
          <w:rFonts w:ascii="Arial" w:hAnsi="Arial" w:cs="Arial"/>
          <w:color w:val="000000"/>
        </w:rPr>
        <w:t xml:space="preserve"> культури становив 83 дні (95% ДІ (довірчий інтервал)</w:t>
      </w:r>
      <w:r w:rsidRPr="00C3617A">
        <w:rPr>
          <w:rFonts w:ascii="Arial" w:hAnsi="Arial" w:cs="Arial"/>
          <w:color w:val="000000"/>
        </w:rPr>
        <w:t>: 56, 97) у групі бедаквіл</w:t>
      </w:r>
      <w:r w:rsidR="00AC042B">
        <w:rPr>
          <w:rFonts w:ascii="Arial" w:hAnsi="Arial" w:cs="Arial"/>
          <w:color w:val="000000"/>
        </w:rPr>
        <w:t>іну порівняно з 125 днями (95% ДІ</w:t>
      </w:r>
      <w:r w:rsidRPr="00C3617A">
        <w:rPr>
          <w:rFonts w:ascii="Arial" w:hAnsi="Arial" w:cs="Arial"/>
          <w:color w:val="000000"/>
        </w:rPr>
        <w:t xml:space="preserve">: 98, 168) у групі плацебо. Первинний аналіз на 24-му тижні з </w:t>
      </w:r>
      <w:r w:rsidR="007D3500">
        <w:rPr>
          <w:rFonts w:ascii="Arial" w:hAnsi="Arial" w:cs="Arial"/>
          <w:color w:val="000000"/>
        </w:rPr>
        <w:t>застосування</w:t>
      </w:r>
      <w:r w:rsidRPr="00C3617A">
        <w:rPr>
          <w:rFonts w:ascii="Arial" w:hAnsi="Arial" w:cs="Arial"/>
          <w:color w:val="000000"/>
        </w:rPr>
        <w:t>м моделі пропорційних ризиків Кокса (</w:t>
      </w:r>
      <w:r w:rsidR="0091601B">
        <w:rPr>
          <w:rFonts w:ascii="Arial" w:hAnsi="Arial" w:cs="Arial"/>
          <w:color w:val="000000"/>
          <w:highlight w:val="yellow"/>
        </w:rPr>
        <w:t xml:space="preserve">з </w:t>
      </w:r>
      <w:r w:rsidR="00AC042B">
        <w:rPr>
          <w:rFonts w:ascii="Arial" w:hAnsi="Arial" w:cs="Arial"/>
          <w:color w:val="000000"/>
          <w:highlight w:val="yellow"/>
        </w:rPr>
        <w:t>урахуванням кавітаційних каверн</w:t>
      </w:r>
      <w:r w:rsidRPr="00C3617A">
        <w:rPr>
          <w:rFonts w:ascii="Arial" w:hAnsi="Arial" w:cs="Arial"/>
          <w:color w:val="000000"/>
          <w:highlight w:val="yellow"/>
        </w:rPr>
        <w:t xml:space="preserve"> т</w:t>
      </w:r>
      <w:r w:rsidRPr="00506777">
        <w:rPr>
          <w:rFonts w:ascii="Arial" w:hAnsi="Arial" w:cs="Arial"/>
          <w:color w:val="000000"/>
          <w:highlight w:val="yellow"/>
        </w:rPr>
        <w:t>а</w:t>
      </w:r>
      <w:r w:rsidR="0049408A">
        <w:rPr>
          <w:rFonts w:ascii="Arial" w:hAnsi="Arial" w:cs="Arial"/>
          <w:color w:val="000000"/>
          <w:highlight w:val="yellow"/>
          <w:lang w:val="uk-UA"/>
        </w:rPr>
        <w:t xml:space="preserve"> зведеного центру</w:t>
      </w:r>
      <w:r w:rsidRPr="00CA4E3E">
        <w:rPr>
          <w:rFonts w:ascii="Arial" w:hAnsi="Arial" w:cs="Arial"/>
          <w:color w:val="000000"/>
          <w:highlight w:val="yellow"/>
        </w:rPr>
        <w:t>)</w:t>
      </w:r>
      <w:r w:rsidRPr="00C3617A">
        <w:rPr>
          <w:rFonts w:ascii="Arial" w:hAnsi="Arial" w:cs="Arial"/>
          <w:color w:val="000000"/>
        </w:rPr>
        <w:t xml:space="preserve"> показав статистично значущу різницю в часі </w:t>
      </w:r>
      <w:r w:rsidR="00506777">
        <w:rPr>
          <w:rFonts w:ascii="Arial" w:hAnsi="Arial" w:cs="Arial"/>
          <w:color w:val="000000"/>
          <w:lang w:val="uk-UA"/>
        </w:rPr>
        <w:t>конверсії</w:t>
      </w:r>
      <w:r w:rsidRPr="00C3617A">
        <w:rPr>
          <w:rFonts w:ascii="Arial" w:hAnsi="Arial" w:cs="Arial"/>
          <w:color w:val="000000"/>
        </w:rPr>
        <w:t xml:space="preserve"> культури між двома групами лікування на користь бедаквіліну: </w:t>
      </w:r>
      <w:r w:rsidRPr="00C3617A">
        <w:rPr>
          <w:rFonts w:ascii="Arial" w:hAnsi="Arial" w:cs="Arial"/>
          <w:color w:val="000000"/>
          <w:lang w:val="en-US"/>
        </w:rPr>
        <w:t>HR</w:t>
      </w:r>
      <w:r w:rsidRPr="00C3617A">
        <w:rPr>
          <w:rFonts w:ascii="Arial" w:hAnsi="Arial" w:cs="Arial"/>
          <w:color w:val="000000"/>
        </w:rPr>
        <w:t xml:space="preserve"> = 2,44 [1,57, 3,80] (</w:t>
      </w:r>
      <w:r w:rsidRPr="00C3617A">
        <w:rPr>
          <w:rFonts w:ascii="Arial" w:hAnsi="Arial" w:cs="Arial"/>
          <w:color w:val="000000"/>
          <w:lang w:val="en-US"/>
        </w:rPr>
        <w:t>p</w:t>
      </w:r>
      <w:r w:rsidRPr="00C3617A">
        <w:rPr>
          <w:rFonts w:ascii="Arial" w:hAnsi="Arial" w:cs="Arial"/>
          <w:color w:val="000000"/>
        </w:rPr>
        <w:t xml:space="preserve"> &lt;0.0001).</w:t>
      </w:r>
    </w:p>
    <w:p w14:paraId="4067295C" w14:textId="77777777" w:rsidR="00E568A1" w:rsidRPr="00506777" w:rsidRDefault="00E568A1" w:rsidP="0037724F">
      <w:pPr>
        <w:autoSpaceDE w:val="0"/>
        <w:autoSpaceDN w:val="0"/>
        <w:adjustRightInd w:val="0"/>
        <w:spacing w:after="0" w:line="240" w:lineRule="auto"/>
        <w:jc w:val="both"/>
        <w:rPr>
          <w:rFonts w:ascii="Arial" w:hAnsi="Arial" w:cs="Arial"/>
          <w:color w:val="000000"/>
          <w:sz w:val="10"/>
          <w:szCs w:val="10"/>
        </w:rPr>
      </w:pPr>
      <w:r w:rsidRPr="00506777">
        <w:rPr>
          <w:rFonts w:ascii="Arial" w:hAnsi="Arial" w:cs="Arial"/>
          <w:color w:val="000000"/>
          <w:sz w:val="10"/>
          <w:szCs w:val="10"/>
        </w:rPr>
        <w:t>________________________________</w:t>
      </w:r>
    </w:p>
    <w:p w14:paraId="50AA7EAB" w14:textId="77777777" w:rsidR="00E568A1" w:rsidRPr="008F5ADD" w:rsidRDefault="00506777" w:rsidP="00054947">
      <w:pPr>
        <w:autoSpaceDE w:val="0"/>
        <w:autoSpaceDN w:val="0"/>
        <w:adjustRightInd w:val="0"/>
        <w:spacing w:after="0" w:line="240" w:lineRule="auto"/>
        <w:jc w:val="both"/>
        <w:rPr>
          <w:rFonts w:ascii="Arial" w:hAnsi="Arial" w:cs="Arial"/>
          <w:color w:val="000000"/>
          <w:sz w:val="15"/>
          <w:szCs w:val="15"/>
        </w:rPr>
      </w:pPr>
      <w:r w:rsidRPr="008F5ADD">
        <w:rPr>
          <w:rFonts w:ascii="Arial" w:hAnsi="Arial" w:cs="Arial"/>
          <w:b/>
          <w:color w:val="000000"/>
          <w:sz w:val="15"/>
          <w:szCs w:val="15"/>
          <w:vertAlign w:val="superscript"/>
          <w:lang w:val="uk-UA"/>
        </w:rPr>
        <w:t>1</w:t>
      </w:r>
      <w:r w:rsidR="00E568A1" w:rsidRPr="008F5ADD">
        <w:rPr>
          <w:rFonts w:ascii="Arial" w:hAnsi="Arial" w:cs="Arial"/>
          <w:b/>
          <w:color w:val="000000"/>
          <w:sz w:val="15"/>
          <w:szCs w:val="15"/>
          <w:vertAlign w:val="superscript"/>
        </w:rPr>
        <w:t xml:space="preserve">5 </w:t>
      </w:r>
      <w:r w:rsidR="00E568A1" w:rsidRPr="008F5ADD">
        <w:rPr>
          <w:rFonts w:ascii="Arial" w:hAnsi="Arial" w:cs="Arial"/>
          <w:color w:val="000000"/>
          <w:sz w:val="15"/>
          <w:szCs w:val="15"/>
        </w:rPr>
        <w:t xml:space="preserve"> Цей режим дозування було обрано на підставі неклінічних даних безпечності та мікробіології, а також результатів безпечності та фармакокінетики кількох клінічних випробувань бедаквіліну 1-ї фази та ранніх результатів бактерицидної активності, отриманих внаслідок попередньої фази </w:t>
      </w:r>
      <w:r w:rsidR="00E568A1" w:rsidRPr="008F5ADD">
        <w:rPr>
          <w:rFonts w:ascii="Arial" w:hAnsi="Arial" w:cs="Arial"/>
          <w:color w:val="000000"/>
          <w:sz w:val="15"/>
          <w:szCs w:val="15"/>
          <w:lang w:val="en-US"/>
        </w:rPr>
        <w:t>IIa</w:t>
      </w:r>
      <w:r w:rsidR="00E568A1" w:rsidRPr="008F5ADD">
        <w:rPr>
          <w:rFonts w:ascii="Arial" w:hAnsi="Arial" w:cs="Arial"/>
          <w:color w:val="000000"/>
          <w:sz w:val="15"/>
          <w:szCs w:val="15"/>
        </w:rPr>
        <w:t xml:space="preserve"> випробувань </w:t>
      </w:r>
      <w:r w:rsidR="00E568A1" w:rsidRPr="008F5ADD">
        <w:rPr>
          <w:rFonts w:ascii="Arial" w:hAnsi="Arial" w:cs="Arial"/>
          <w:color w:val="000000"/>
          <w:sz w:val="15"/>
          <w:szCs w:val="15"/>
          <w:lang w:val="en-US"/>
        </w:rPr>
        <w:t>C</w:t>
      </w:r>
      <w:r w:rsidR="00E568A1" w:rsidRPr="008F5ADD">
        <w:rPr>
          <w:rFonts w:ascii="Arial" w:hAnsi="Arial" w:cs="Arial"/>
          <w:color w:val="000000"/>
          <w:sz w:val="15"/>
          <w:szCs w:val="15"/>
        </w:rPr>
        <w:t>202.</w:t>
      </w:r>
    </w:p>
    <w:p w14:paraId="15DB4CE4" w14:textId="77777777" w:rsidR="0049408A" w:rsidRDefault="00E568A1" w:rsidP="0049408A">
      <w:pPr>
        <w:spacing w:line="240" w:lineRule="auto"/>
        <w:ind w:right="560"/>
        <w:jc w:val="both"/>
        <w:rPr>
          <w:sz w:val="20"/>
          <w:szCs w:val="20"/>
        </w:rPr>
      </w:pPr>
      <w:r w:rsidRPr="008F5ADD">
        <w:rPr>
          <w:rFonts w:ascii="Arial" w:hAnsi="Arial" w:cs="Arial"/>
          <w:b/>
          <w:color w:val="000000"/>
          <w:sz w:val="15"/>
          <w:szCs w:val="15"/>
          <w:vertAlign w:val="superscript"/>
        </w:rPr>
        <w:t>16</w:t>
      </w:r>
      <w:r w:rsidRPr="008F5ADD">
        <w:rPr>
          <w:rFonts w:ascii="Arial" w:hAnsi="Arial" w:cs="Arial"/>
          <w:color w:val="000000"/>
          <w:sz w:val="15"/>
          <w:szCs w:val="15"/>
        </w:rPr>
        <w:t xml:space="preserve"> </w:t>
      </w:r>
      <w:r w:rsidR="00CA4E3E" w:rsidRPr="008F5ADD">
        <w:rPr>
          <w:rFonts w:ascii="Arial" w:hAnsi="Arial" w:cs="Arial"/>
          <w:color w:val="000000"/>
          <w:sz w:val="15"/>
          <w:szCs w:val="15"/>
        </w:rPr>
        <w:t xml:space="preserve">   </w:t>
      </w:r>
      <w:r w:rsidR="0049408A" w:rsidRPr="0049408A">
        <w:rPr>
          <w:rFonts w:ascii="Arial" w:hAnsi="Arial" w:cs="Arial"/>
          <w:sz w:val="15"/>
          <w:szCs w:val="15"/>
        </w:rPr>
        <w:t>Визначається як «дві послідовні культури мокротиння з негативним ростом, відібрані з проміжком часу щонайменше 25 днів (як і всі інші проміжні культури). Після цього не має бути зафіксовано позитивного росту культури (або одиничного позитивного результату після завершення суб’єктом дослідження) і суб’єкт не вибуває до завершення дослідження».</w:t>
      </w:r>
    </w:p>
    <w:p w14:paraId="681B0E79" w14:textId="1DBDCFD8" w:rsidR="00E568A1" w:rsidRPr="008F5ADD" w:rsidRDefault="00E568A1" w:rsidP="0049408A">
      <w:pPr>
        <w:autoSpaceDE w:val="0"/>
        <w:autoSpaceDN w:val="0"/>
        <w:adjustRightInd w:val="0"/>
        <w:spacing w:after="0" w:line="240" w:lineRule="auto"/>
        <w:jc w:val="both"/>
        <w:rPr>
          <w:rFonts w:ascii="Arial" w:hAnsi="Arial" w:cs="Arial"/>
          <w:color w:val="FFFFFF"/>
          <w:sz w:val="15"/>
          <w:szCs w:val="15"/>
        </w:rPr>
      </w:pPr>
      <w:r w:rsidRPr="008F5ADD">
        <w:rPr>
          <w:rFonts w:ascii="Arial" w:hAnsi="Arial" w:cs="Arial"/>
          <w:color w:val="FFFFFF"/>
          <w:sz w:val="15"/>
          <w:szCs w:val="15"/>
        </w:rPr>
        <w:lastRenderedPageBreak/>
        <w:t>22</w:t>
      </w:r>
    </w:p>
    <w:p w14:paraId="710722F4" w14:textId="1EB11D1C" w:rsidR="00E568A1" w:rsidRPr="007040C4" w:rsidRDefault="00D1777E" w:rsidP="0037724F">
      <w:pPr>
        <w:autoSpaceDE w:val="0"/>
        <w:autoSpaceDN w:val="0"/>
        <w:adjustRightInd w:val="0"/>
        <w:spacing w:after="0" w:line="240" w:lineRule="auto"/>
        <w:jc w:val="both"/>
        <w:rPr>
          <w:rFonts w:ascii="Arial" w:hAnsi="Arial" w:cs="Arial"/>
          <w:bCs/>
          <w:iCs/>
          <w:color w:val="000000"/>
        </w:rPr>
      </w:pPr>
      <w:r>
        <w:rPr>
          <w:rFonts w:ascii="Arial" w:hAnsi="Arial" w:cs="Arial"/>
          <w:b/>
          <w:bCs/>
          <w:i/>
          <w:iCs/>
          <w:color w:val="000000"/>
        </w:rPr>
        <w:t>Вторинним</w:t>
      </w:r>
      <w:r w:rsidR="00E568A1" w:rsidRPr="0022317F">
        <w:rPr>
          <w:rFonts w:ascii="Arial" w:hAnsi="Arial" w:cs="Arial"/>
          <w:b/>
          <w:bCs/>
          <w:i/>
          <w:iCs/>
          <w:color w:val="000000"/>
        </w:rPr>
        <w:t xml:space="preserve"> </w:t>
      </w:r>
      <w:r w:rsidRPr="00D1777E">
        <w:rPr>
          <w:rFonts w:ascii="Arial" w:hAnsi="Arial" w:cs="Arial"/>
          <w:b/>
          <w:i/>
          <w:color w:val="000000"/>
        </w:rPr>
        <w:t xml:space="preserve">показником ефективності </w:t>
      </w:r>
      <w:r w:rsidRPr="00D1777E">
        <w:rPr>
          <w:rFonts w:ascii="Arial" w:hAnsi="Arial" w:cs="Arial"/>
          <w:b/>
          <w:i/>
          <w:color w:val="000000"/>
          <w:lang w:val="uk-UA"/>
        </w:rPr>
        <w:t xml:space="preserve">дослідження </w:t>
      </w:r>
      <w:r w:rsidR="00E568A1" w:rsidRPr="00D1777E">
        <w:rPr>
          <w:rFonts w:ascii="Arial" w:hAnsi="Arial" w:cs="Arial"/>
          <w:b/>
          <w:bCs/>
          <w:i/>
          <w:iCs/>
          <w:color w:val="000000"/>
          <w:lang w:val="en-US"/>
        </w:rPr>
        <w:t>C</w:t>
      </w:r>
      <w:r w:rsidR="00E568A1" w:rsidRPr="00D1777E">
        <w:rPr>
          <w:rFonts w:ascii="Arial" w:hAnsi="Arial" w:cs="Arial"/>
          <w:b/>
          <w:bCs/>
          <w:i/>
          <w:iCs/>
          <w:color w:val="000000"/>
        </w:rPr>
        <w:t>208</w:t>
      </w:r>
      <w:r w:rsidR="00E568A1" w:rsidRPr="0022317F">
        <w:rPr>
          <w:rFonts w:ascii="Arial" w:hAnsi="Arial" w:cs="Arial"/>
          <w:b/>
          <w:bCs/>
          <w:i/>
          <w:iCs/>
          <w:color w:val="000000"/>
        </w:rPr>
        <w:t xml:space="preserve">, 2-го етапу </w:t>
      </w:r>
      <w:r w:rsidR="00506777">
        <w:rPr>
          <w:rFonts w:ascii="Arial" w:hAnsi="Arial" w:cs="Arial"/>
          <w:b/>
          <w:bCs/>
          <w:i/>
          <w:iCs/>
          <w:color w:val="000000"/>
          <w:lang w:val="uk-UA"/>
        </w:rPr>
        <w:t xml:space="preserve">випробування </w:t>
      </w:r>
      <w:r w:rsidR="00E568A1" w:rsidRPr="0022317F">
        <w:rPr>
          <w:rFonts w:ascii="Arial" w:hAnsi="Arial" w:cs="Arial"/>
          <w:b/>
          <w:bCs/>
          <w:i/>
          <w:iCs/>
          <w:color w:val="000000"/>
        </w:rPr>
        <w:t>була частка пацієнтів з конверсією культури.</w:t>
      </w:r>
      <w:r w:rsidR="0049408A">
        <w:rPr>
          <w:rFonts w:ascii="Arial" w:hAnsi="Arial" w:cs="Arial"/>
          <w:bCs/>
          <w:iCs/>
          <w:color w:val="000000"/>
        </w:rPr>
        <w:t xml:space="preserve"> Частка учасників</w:t>
      </w:r>
      <w:r w:rsidR="00E568A1" w:rsidRPr="0022317F">
        <w:rPr>
          <w:rFonts w:ascii="Arial" w:hAnsi="Arial" w:cs="Arial"/>
          <w:bCs/>
          <w:iCs/>
          <w:color w:val="000000"/>
        </w:rPr>
        <w:t xml:space="preserve"> з конверсією культури на 24-му тижні (тобто кількіст</w:t>
      </w:r>
      <w:r w:rsidR="00506777">
        <w:rPr>
          <w:rFonts w:ascii="Arial" w:hAnsi="Arial" w:cs="Arial"/>
          <w:bCs/>
          <w:iCs/>
          <w:color w:val="000000"/>
        </w:rPr>
        <w:t>ь пацієнтів, що відреагували на лікування</w:t>
      </w:r>
      <w:r w:rsidR="00E568A1" w:rsidRPr="0022317F">
        <w:rPr>
          <w:rFonts w:ascii="Arial" w:hAnsi="Arial" w:cs="Arial"/>
          <w:bCs/>
          <w:iCs/>
          <w:color w:val="000000"/>
        </w:rPr>
        <w:t xml:space="preserve"> на 24 тижні [відсутність = невдача]) становила 78,8% у групі бедаквіліну та 57,6% у групі плацебо (р = 0,008 на основі логістичної регресійної моделі</w:t>
      </w:r>
      <w:r w:rsidR="0049408A">
        <w:rPr>
          <w:rFonts w:ascii="Arial" w:hAnsi="Arial" w:cs="Arial"/>
          <w:bCs/>
          <w:iCs/>
          <w:color w:val="000000"/>
        </w:rPr>
        <w:t>, де</w:t>
      </w:r>
      <w:r w:rsidR="00E568A1">
        <w:rPr>
          <w:rFonts w:ascii="Arial" w:hAnsi="Arial" w:cs="Arial"/>
          <w:bCs/>
          <w:iCs/>
          <w:color w:val="000000"/>
        </w:rPr>
        <w:t xml:space="preserve"> </w:t>
      </w:r>
      <w:r w:rsidR="00E568A1" w:rsidRPr="00D1777E">
        <w:rPr>
          <w:rFonts w:ascii="Arial" w:hAnsi="Arial" w:cs="Arial"/>
          <w:bCs/>
          <w:iCs/>
          <w:color w:val="000000"/>
          <w:highlight w:val="yellow"/>
        </w:rPr>
        <w:t xml:space="preserve">лікуванням </w:t>
      </w:r>
      <w:r w:rsidR="0049408A">
        <w:rPr>
          <w:rFonts w:ascii="Arial" w:hAnsi="Arial" w:cs="Arial"/>
          <w:bCs/>
          <w:iCs/>
          <w:color w:val="000000"/>
          <w:highlight w:val="yellow"/>
        </w:rPr>
        <w:t>було в якості єдиної</w:t>
      </w:r>
      <w:r w:rsidR="00E568A1" w:rsidRPr="00D1777E">
        <w:rPr>
          <w:rFonts w:ascii="Arial" w:hAnsi="Arial" w:cs="Arial"/>
          <w:bCs/>
          <w:iCs/>
          <w:color w:val="000000"/>
          <w:highlight w:val="yellow"/>
        </w:rPr>
        <w:t xml:space="preserve"> коваріат</w:t>
      </w:r>
      <w:r w:rsidR="0049408A">
        <w:rPr>
          <w:rFonts w:ascii="Arial" w:hAnsi="Arial" w:cs="Arial"/>
          <w:bCs/>
          <w:iCs/>
          <w:color w:val="000000"/>
        </w:rPr>
        <w:t>и</w:t>
      </w:r>
      <w:r w:rsidR="00E568A1" w:rsidRPr="0022317F">
        <w:rPr>
          <w:rFonts w:ascii="Arial" w:hAnsi="Arial" w:cs="Arial"/>
          <w:bCs/>
          <w:iCs/>
          <w:color w:val="000000"/>
        </w:rPr>
        <w:t xml:space="preserve">). </w:t>
      </w:r>
      <w:r w:rsidR="00E568A1" w:rsidRPr="007040C4">
        <w:rPr>
          <w:rFonts w:ascii="Arial" w:hAnsi="Arial" w:cs="Arial"/>
          <w:bCs/>
          <w:iCs/>
          <w:color w:val="000000"/>
        </w:rPr>
        <w:t>Аналогічні аналізи були проведені на 72-му та 120-му тижні. Відсоток пацієнтів, які досягли ремісії та покращення стану (</w:t>
      </w:r>
      <w:r w:rsidRPr="0022317F">
        <w:rPr>
          <w:rFonts w:ascii="Arial" w:hAnsi="Arial" w:cs="Arial"/>
          <w:bCs/>
          <w:iCs/>
          <w:color w:val="000000"/>
        </w:rPr>
        <w:t>відсутність = невдача</w:t>
      </w:r>
      <w:r w:rsidR="00E568A1" w:rsidRPr="007040C4">
        <w:rPr>
          <w:rFonts w:ascii="Arial" w:hAnsi="Arial" w:cs="Arial"/>
          <w:bCs/>
          <w:iCs/>
          <w:color w:val="000000"/>
        </w:rPr>
        <w:t xml:space="preserve">) на 72-му тижні (тобто часовий момент, досягнутий всіма пацієнтами другої </w:t>
      </w:r>
      <w:r w:rsidR="00506777">
        <w:rPr>
          <w:rFonts w:ascii="Arial" w:hAnsi="Arial" w:cs="Arial"/>
          <w:bCs/>
          <w:iCs/>
          <w:color w:val="000000"/>
          <w:lang w:val="uk-UA"/>
        </w:rPr>
        <w:t>с</w:t>
      </w:r>
      <w:r w:rsidR="00E568A1" w:rsidRPr="007040C4">
        <w:rPr>
          <w:rFonts w:ascii="Arial" w:hAnsi="Arial" w:cs="Arial"/>
          <w:bCs/>
          <w:iCs/>
          <w:color w:val="000000"/>
        </w:rPr>
        <w:t>тадії при проміжному аналізі, які продовжували участь у випр</w:t>
      </w:r>
      <w:r>
        <w:rPr>
          <w:rFonts w:ascii="Arial" w:hAnsi="Arial" w:cs="Arial"/>
          <w:bCs/>
          <w:iCs/>
          <w:color w:val="000000"/>
        </w:rPr>
        <w:t>обуванні) становив 71,2% у групі</w:t>
      </w:r>
      <w:r w:rsidR="00E568A1" w:rsidRPr="007040C4">
        <w:rPr>
          <w:rFonts w:ascii="Arial" w:hAnsi="Arial" w:cs="Arial"/>
          <w:bCs/>
          <w:iCs/>
          <w:color w:val="000000"/>
        </w:rPr>
        <w:t xml:space="preserve"> бедаквіліну та 56,1% у групі плацебо (р = 0,069). </w:t>
      </w:r>
      <w:r>
        <w:rPr>
          <w:rFonts w:ascii="Arial" w:hAnsi="Arial" w:cs="Arial"/>
          <w:bCs/>
          <w:iCs/>
          <w:color w:val="000000"/>
        </w:rPr>
        <w:t>Згідно</w:t>
      </w:r>
      <w:r w:rsidR="00E568A1" w:rsidRPr="007040C4">
        <w:rPr>
          <w:rFonts w:ascii="Arial" w:hAnsi="Arial" w:cs="Arial"/>
          <w:bCs/>
          <w:iCs/>
          <w:color w:val="000000"/>
        </w:rPr>
        <w:t xml:space="preserve"> усі</w:t>
      </w:r>
      <w:r>
        <w:rPr>
          <w:rFonts w:ascii="Arial" w:hAnsi="Arial" w:cs="Arial"/>
          <w:bCs/>
          <w:iCs/>
          <w:color w:val="000000"/>
        </w:rPr>
        <w:t>х доступних даних</w:t>
      </w:r>
      <w:r w:rsidR="00E568A1" w:rsidRPr="007040C4">
        <w:rPr>
          <w:rFonts w:ascii="Arial" w:hAnsi="Arial" w:cs="Arial"/>
          <w:bCs/>
          <w:iCs/>
          <w:color w:val="000000"/>
        </w:rPr>
        <w:t xml:space="preserve"> про ефективність до кінця дослідження (120-й тиждень), у групі бедаквіліну цей показник становив 62,1% та у групі плацебо - 43,9% (р = 0,035).</w:t>
      </w:r>
    </w:p>
    <w:p w14:paraId="39D4D32B" w14:textId="77777777" w:rsidR="00E568A1" w:rsidRPr="0022317F" w:rsidRDefault="00E568A1" w:rsidP="0037724F">
      <w:pPr>
        <w:autoSpaceDE w:val="0"/>
        <w:autoSpaceDN w:val="0"/>
        <w:adjustRightInd w:val="0"/>
        <w:spacing w:after="0" w:line="240" w:lineRule="auto"/>
        <w:jc w:val="both"/>
        <w:rPr>
          <w:rFonts w:ascii="Arial" w:hAnsi="Arial" w:cs="Arial"/>
          <w:b/>
          <w:bCs/>
          <w:i/>
          <w:iCs/>
          <w:color w:val="000000"/>
        </w:rPr>
      </w:pPr>
    </w:p>
    <w:p w14:paraId="34B5DB15" w14:textId="352681E9" w:rsidR="00E568A1" w:rsidRPr="002F00BA" w:rsidRDefault="00506777" w:rsidP="0037724F">
      <w:pPr>
        <w:autoSpaceDE w:val="0"/>
        <w:autoSpaceDN w:val="0"/>
        <w:adjustRightInd w:val="0"/>
        <w:spacing w:after="0" w:line="240" w:lineRule="auto"/>
        <w:jc w:val="both"/>
        <w:rPr>
          <w:rFonts w:ascii="Arial" w:hAnsi="Arial" w:cs="Arial"/>
          <w:color w:val="000000"/>
        </w:rPr>
      </w:pPr>
      <w:r>
        <w:rPr>
          <w:rFonts w:ascii="Arial" w:hAnsi="Arial" w:cs="Arial"/>
          <w:color w:val="000000"/>
          <w:lang w:val="uk-UA"/>
        </w:rPr>
        <w:t xml:space="preserve">Додатково була оцінена </w:t>
      </w:r>
      <w:r>
        <w:rPr>
          <w:rFonts w:ascii="Arial" w:hAnsi="Arial" w:cs="Arial"/>
          <w:color w:val="000000"/>
        </w:rPr>
        <w:t>е</w:t>
      </w:r>
      <w:r w:rsidR="00E568A1" w:rsidRPr="002F00BA">
        <w:rPr>
          <w:rFonts w:ascii="Arial" w:hAnsi="Arial" w:cs="Arial"/>
          <w:color w:val="000000"/>
        </w:rPr>
        <w:t xml:space="preserve">фективність, </w:t>
      </w:r>
      <w:r w:rsidR="0049408A">
        <w:rPr>
          <w:rFonts w:ascii="Arial" w:hAnsi="Arial" w:cs="Arial"/>
          <w:color w:val="000000"/>
        </w:rPr>
        <w:t>за допмогою</w:t>
      </w:r>
      <w:r w:rsidR="00E568A1" w:rsidRPr="002F00BA">
        <w:rPr>
          <w:rFonts w:ascii="Arial" w:hAnsi="Arial" w:cs="Arial"/>
          <w:color w:val="000000"/>
        </w:rPr>
        <w:t xml:space="preserve"> </w:t>
      </w:r>
      <w:r w:rsidR="0049408A">
        <w:rPr>
          <w:rFonts w:ascii="Arial" w:hAnsi="Arial" w:cs="Arial"/>
          <w:b/>
          <w:i/>
          <w:color w:val="000000"/>
        </w:rPr>
        <w:t>рекомендованих</w:t>
      </w:r>
      <w:r>
        <w:rPr>
          <w:rFonts w:ascii="Arial" w:hAnsi="Arial" w:cs="Arial"/>
          <w:b/>
          <w:i/>
          <w:color w:val="000000"/>
        </w:rPr>
        <w:t xml:space="preserve"> </w:t>
      </w:r>
      <w:r w:rsidR="00E568A1" w:rsidRPr="002F00BA">
        <w:rPr>
          <w:rFonts w:ascii="Arial" w:hAnsi="Arial" w:cs="Arial"/>
          <w:b/>
          <w:i/>
          <w:color w:val="000000"/>
        </w:rPr>
        <w:t>ВООЗ</w:t>
      </w:r>
      <w:r w:rsidR="0049408A">
        <w:rPr>
          <w:rFonts w:ascii="Arial" w:hAnsi="Arial" w:cs="Arial"/>
          <w:b/>
          <w:i/>
          <w:color w:val="000000"/>
        </w:rPr>
        <w:t xml:space="preserve"> визначень</w:t>
      </w:r>
      <w:r w:rsidR="00E568A1" w:rsidRPr="002F00BA">
        <w:rPr>
          <w:rFonts w:ascii="Arial" w:hAnsi="Arial" w:cs="Arial"/>
          <w:b/>
          <w:i/>
          <w:color w:val="000000"/>
        </w:rPr>
        <w:t xml:space="preserve"> </w:t>
      </w:r>
      <w:r w:rsidR="00E568A1">
        <w:rPr>
          <w:rFonts w:ascii="Arial" w:hAnsi="Arial" w:cs="Arial"/>
          <w:b/>
          <w:i/>
          <w:color w:val="000000"/>
        </w:rPr>
        <w:t>результатів лікування</w:t>
      </w:r>
      <w:r w:rsidR="00E568A1" w:rsidRPr="002F00BA">
        <w:rPr>
          <w:rFonts w:ascii="Arial" w:hAnsi="Arial" w:cs="Arial"/>
          <w:b/>
          <w:i/>
          <w:color w:val="000000"/>
        </w:rPr>
        <w:t>,</w:t>
      </w:r>
      <w:r w:rsidR="00E568A1" w:rsidRPr="002F00BA">
        <w:rPr>
          <w:rFonts w:ascii="Arial" w:hAnsi="Arial" w:cs="Arial"/>
          <w:color w:val="000000"/>
        </w:rPr>
        <w:t xml:space="preserve"> що застосовуються до кінцевих даних 120-го тижня. Одужання визначалося як: "принаймні п'ять послідовних негативних культур із зразків, зібраних окремо</w:t>
      </w:r>
      <w:r>
        <w:rPr>
          <w:rFonts w:ascii="Arial" w:hAnsi="Arial" w:cs="Arial"/>
          <w:color w:val="000000"/>
          <w:lang w:val="uk-UA"/>
        </w:rPr>
        <w:t>,</w:t>
      </w:r>
      <w:r w:rsidR="00E568A1" w:rsidRPr="002F00BA">
        <w:rPr>
          <w:rFonts w:ascii="Arial" w:hAnsi="Arial" w:cs="Arial"/>
          <w:color w:val="000000"/>
        </w:rPr>
        <w:t xml:space="preserve"> принаймні</w:t>
      </w:r>
      <w:r>
        <w:rPr>
          <w:rFonts w:ascii="Arial" w:hAnsi="Arial" w:cs="Arial"/>
          <w:color w:val="000000"/>
          <w:lang w:val="uk-UA"/>
        </w:rPr>
        <w:t>,</w:t>
      </w:r>
      <w:r w:rsidR="00E568A1" w:rsidRPr="002F00BA">
        <w:rPr>
          <w:rFonts w:ascii="Arial" w:hAnsi="Arial" w:cs="Arial"/>
          <w:color w:val="000000"/>
        </w:rPr>
        <w:t xml:space="preserve"> з інтервалом у 30 днів  протягом останніх 12 місяців лікування; якщо пр</w:t>
      </w:r>
      <w:r w:rsidR="001863C2">
        <w:rPr>
          <w:rFonts w:ascii="Arial" w:hAnsi="Arial" w:cs="Arial"/>
          <w:color w:val="000000"/>
        </w:rPr>
        <w:t>отягом цього часу реєструється</w:t>
      </w:r>
      <w:r w:rsidR="00E568A1" w:rsidRPr="002F00BA">
        <w:rPr>
          <w:rFonts w:ascii="Arial" w:hAnsi="Arial" w:cs="Arial"/>
          <w:color w:val="000000"/>
        </w:rPr>
        <w:t xml:space="preserve"> лише одна позитивна культура, пацієнт </w:t>
      </w:r>
      <w:r>
        <w:rPr>
          <w:rFonts w:ascii="Arial" w:hAnsi="Arial" w:cs="Arial"/>
          <w:color w:val="000000"/>
        </w:rPr>
        <w:t>все ще може вважатися таким, що</w:t>
      </w:r>
      <w:r w:rsidR="00E568A1" w:rsidRPr="002F00BA">
        <w:rPr>
          <w:rFonts w:ascii="Arial" w:hAnsi="Arial" w:cs="Arial"/>
          <w:color w:val="000000"/>
        </w:rPr>
        <w:t xml:space="preserve"> одужав, за умови, що за цією позитивною культурою слід</w:t>
      </w:r>
      <w:r w:rsidR="001C7344">
        <w:rPr>
          <w:rFonts w:ascii="Arial" w:hAnsi="Arial" w:cs="Arial"/>
          <w:color w:val="000000"/>
        </w:rPr>
        <w:t>ують</w:t>
      </w:r>
      <w:r w:rsidR="00E568A1" w:rsidRPr="002F00BA">
        <w:rPr>
          <w:rFonts w:ascii="Arial" w:hAnsi="Arial" w:cs="Arial"/>
          <w:color w:val="000000"/>
        </w:rPr>
        <w:t xml:space="preserve"> принаймні три послідовні негативні культури, взяті окремо </w:t>
      </w:r>
      <w:r w:rsidR="001C7344" w:rsidRPr="002F00BA">
        <w:rPr>
          <w:rFonts w:ascii="Arial" w:hAnsi="Arial" w:cs="Arial"/>
          <w:color w:val="000000"/>
        </w:rPr>
        <w:t xml:space="preserve">з інтервалом </w:t>
      </w:r>
      <w:r w:rsidR="00E568A1" w:rsidRPr="002F00BA">
        <w:rPr>
          <w:rFonts w:ascii="Arial" w:hAnsi="Arial" w:cs="Arial"/>
          <w:color w:val="000000"/>
        </w:rPr>
        <w:t xml:space="preserve">принаймні </w:t>
      </w:r>
      <w:r w:rsidR="001C7344">
        <w:rPr>
          <w:rFonts w:ascii="Arial" w:hAnsi="Arial" w:cs="Arial"/>
          <w:color w:val="000000"/>
        </w:rPr>
        <w:t>у 30 днів</w:t>
      </w:r>
      <w:r w:rsidR="00E568A1" w:rsidRPr="002F00BA">
        <w:rPr>
          <w:rFonts w:ascii="Arial" w:hAnsi="Arial" w:cs="Arial"/>
          <w:color w:val="000000"/>
        </w:rPr>
        <w:t>". У групі бедаквіліну 38/66 (57,6%) пацієнтів були віднесені до категорії таких, хто одужав, у порівнянні з 21/66 (31,8%) у групі плацебо (р = 0,003).</w:t>
      </w:r>
    </w:p>
    <w:p w14:paraId="3FA292E4" w14:textId="77777777" w:rsidR="00E568A1" w:rsidRPr="00EE15E0" w:rsidRDefault="00E568A1" w:rsidP="0037724F">
      <w:pPr>
        <w:autoSpaceDE w:val="0"/>
        <w:autoSpaceDN w:val="0"/>
        <w:adjustRightInd w:val="0"/>
        <w:spacing w:after="0" w:line="240" w:lineRule="auto"/>
        <w:jc w:val="both"/>
        <w:rPr>
          <w:rFonts w:ascii="Arial" w:hAnsi="Arial" w:cs="Arial"/>
          <w:b/>
          <w:bCs/>
          <w:i/>
          <w:iCs/>
          <w:color w:val="000000"/>
          <w:lang w:val="uk-UA"/>
        </w:rPr>
      </w:pPr>
    </w:p>
    <w:p w14:paraId="5AE9FBA2" w14:textId="50454554" w:rsidR="00E568A1" w:rsidRPr="003C6D9A" w:rsidRDefault="00E568A1" w:rsidP="009B51D9">
      <w:pPr>
        <w:autoSpaceDE w:val="0"/>
        <w:autoSpaceDN w:val="0"/>
        <w:adjustRightInd w:val="0"/>
        <w:spacing w:after="0" w:line="240" w:lineRule="auto"/>
        <w:jc w:val="center"/>
        <w:outlineLvl w:val="0"/>
        <w:rPr>
          <w:rFonts w:ascii="Arial" w:hAnsi="Arial" w:cs="Arial"/>
          <w:b/>
          <w:bCs/>
          <w:color w:val="000000"/>
          <w:sz w:val="24"/>
          <w:szCs w:val="24"/>
        </w:rPr>
      </w:pPr>
      <w:r w:rsidRPr="003C6D9A">
        <w:rPr>
          <w:rFonts w:ascii="Arial" w:hAnsi="Arial" w:cs="Arial"/>
          <w:b/>
          <w:bCs/>
          <w:color w:val="000000"/>
          <w:sz w:val="24"/>
          <w:szCs w:val="24"/>
        </w:rPr>
        <w:t xml:space="preserve">Таблиця </w:t>
      </w:r>
      <w:r>
        <w:rPr>
          <w:rFonts w:ascii="Arial" w:hAnsi="Arial" w:cs="Arial"/>
          <w:b/>
          <w:bCs/>
          <w:color w:val="000000"/>
          <w:sz w:val="24"/>
          <w:szCs w:val="24"/>
        </w:rPr>
        <w:t xml:space="preserve">1. </w:t>
      </w:r>
      <w:r w:rsidR="00715234">
        <w:rPr>
          <w:rFonts w:ascii="Arial" w:hAnsi="Arial" w:cs="Arial"/>
          <w:b/>
          <w:bCs/>
          <w:color w:val="000000"/>
          <w:sz w:val="24"/>
          <w:szCs w:val="24"/>
          <w:lang w:val="uk-UA"/>
        </w:rPr>
        <w:t>Підсумок</w:t>
      </w:r>
      <w:r w:rsidR="00DF516D">
        <w:rPr>
          <w:rFonts w:ascii="Arial" w:hAnsi="Arial" w:cs="Arial"/>
          <w:b/>
          <w:bCs/>
          <w:color w:val="000000"/>
          <w:sz w:val="24"/>
          <w:szCs w:val="24"/>
        </w:rPr>
        <w:t xml:space="preserve"> даних</w:t>
      </w:r>
      <w:r w:rsidRPr="003C6D9A">
        <w:rPr>
          <w:rFonts w:ascii="Arial" w:hAnsi="Arial" w:cs="Arial"/>
          <w:b/>
          <w:bCs/>
          <w:color w:val="000000"/>
          <w:sz w:val="24"/>
          <w:szCs w:val="24"/>
        </w:rPr>
        <w:t xml:space="preserve"> ефективності бедаквіліну при лікуванні</w:t>
      </w:r>
    </w:p>
    <w:p w14:paraId="5D6768A4" w14:textId="5BA45B2C" w:rsidR="00E568A1" w:rsidRDefault="001C7344" w:rsidP="00DF516D">
      <w:pPr>
        <w:autoSpaceDE w:val="0"/>
        <w:autoSpaceDN w:val="0"/>
        <w:adjustRightInd w:val="0"/>
        <w:spacing w:after="0" w:line="240" w:lineRule="auto"/>
        <w:jc w:val="center"/>
        <w:rPr>
          <w:rFonts w:ascii="Arial" w:hAnsi="Arial" w:cs="Arial"/>
          <w:b/>
          <w:bCs/>
          <w:color w:val="000000"/>
          <w:sz w:val="24"/>
          <w:szCs w:val="24"/>
          <w:lang w:val="uk-UA"/>
        </w:rPr>
      </w:pPr>
      <w:r>
        <w:rPr>
          <w:rFonts w:ascii="Arial" w:hAnsi="Arial" w:cs="Arial"/>
          <w:b/>
          <w:bCs/>
          <w:color w:val="000000"/>
          <w:sz w:val="24"/>
          <w:szCs w:val="24"/>
          <w:lang w:val="en-US"/>
        </w:rPr>
        <w:t xml:space="preserve">МР </w:t>
      </w:r>
      <w:r w:rsidR="00E568A1" w:rsidRPr="003C6D9A">
        <w:rPr>
          <w:rFonts w:ascii="Arial" w:hAnsi="Arial" w:cs="Arial"/>
          <w:b/>
          <w:bCs/>
          <w:color w:val="000000"/>
          <w:sz w:val="24"/>
          <w:szCs w:val="24"/>
          <w:lang w:val="en-US"/>
        </w:rPr>
        <w:t>ТБ</w:t>
      </w:r>
    </w:p>
    <w:p w14:paraId="63263FE8" w14:textId="77777777" w:rsidR="00E568A1" w:rsidRDefault="00E568A1" w:rsidP="003C6D9A">
      <w:pPr>
        <w:autoSpaceDE w:val="0"/>
        <w:autoSpaceDN w:val="0"/>
        <w:adjustRightInd w:val="0"/>
        <w:spacing w:after="0" w:line="240" w:lineRule="auto"/>
        <w:jc w:val="both"/>
        <w:rPr>
          <w:rFonts w:ascii="Arial" w:hAnsi="Arial" w:cs="Arial"/>
          <w:b/>
          <w:bCs/>
          <w:color w:val="000000"/>
          <w:sz w:val="24"/>
          <w:szCs w:val="24"/>
          <w:lang w:val="uk-UA"/>
        </w:rPr>
      </w:pPr>
    </w:p>
    <w:tbl>
      <w:tblPr>
        <w:tblW w:w="9356" w:type="dxa"/>
        <w:tblLook w:val="01E0" w:firstRow="1" w:lastRow="1" w:firstColumn="1" w:lastColumn="1" w:noHBand="0" w:noVBand="0"/>
      </w:tblPr>
      <w:tblGrid>
        <w:gridCol w:w="3969"/>
        <w:gridCol w:w="2004"/>
        <w:gridCol w:w="2005"/>
        <w:gridCol w:w="1378"/>
      </w:tblGrid>
      <w:tr w:rsidR="00E568A1" w:rsidRPr="00404515" w14:paraId="3FA78BDC" w14:textId="77777777" w:rsidTr="00BB565B">
        <w:tc>
          <w:tcPr>
            <w:tcW w:w="3969" w:type="dxa"/>
            <w:tcBorders>
              <w:top w:val="single" w:sz="18" w:space="0" w:color="740000"/>
            </w:tcBorders>
            <w:shd w:val="clear" w:color="auto" w:fill="C00000"/>
          </w:tcPr>
          <w:p w14:paraId="4D6E8970"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12"/>
                <w:szCs w:val="12"/>
                <w:lang w:val="uk-UA"/>
              </w:rPr>
            </w:pPr>
          </w:p>
          <w:p w14:paraId="249B6595"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Параметри</w:t>
            </w:r>
          </w:p>
        </w:tc>
        <w:tc>
          <w:tcPr>
            <w:tcW w:w="2004" w:type="dxa"/>
            <w:tcBorders>
              <w:top w:val="single" w:sz="18" w:space="0" w:color="740000"/>
            </w:tcBorders>
            <w:shd w:val="clear" w:color="auto" w:fill="C00000"/>
          </w:tcPr>
          <w:p w14:paraId="7894BB13"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12"/>
                <w:szCs w:val="12"/>
                <w:lang w:val="uk-UA"/>
              </w:rPr>
            </w:pPr>
          </w:p>
          <w:p w14:paraId="7CD9BFB6"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Бедаквілін</w:t>
            </w:r>
          </w:p>
        </w:tc>
        <w:tc>
          <w:tcPr>
            <w:tcW w:w="2005" w:type="dxa"/>
            <w:tcBorders>
              <w:top w:val="single" w:sz="18" w:space="0" w:color="740000"/>
            </w:tcBorders>
            <w:shd w:val="clear" w:color="auto" w:fill="C00000"/>
          </w:tcPr>
          <w:p w14:paraId="489C940A"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12"/>
                <w:szCs w:val="12"/>
                <w:lang w:val="uk-UA"/>
              </w:rPr>
            </w:pPr>
          </w:p>
          <w:p w14:paraId="39E82544"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Плацебо</w:t>
            </w:r>
          </w:p>
        </w:tc>
        <w:tc>
          <w:tcPr>
            <w:tcW w:w="1378" w:type="dxa"/>
            <w:tcBorders>
              <w:top w:val="single" w:sz="18" w:space="0" w:color="740000"/>
            </w:tcBorders>
            <w:shd w:val="clear" w:color="auto" w:fill="C00000"/>
          </w:tcPr>
          <w:p w14:paraId="19EA6F2E"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12"/>
                <w:szCs w:val="12"/>
                <w:lang w:val="uk-UA"/>
              </w:rPr>
            </w:pPr>
          </w:p>
          <w:p w14:paraId="51B80A82"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р значення</w:t>
            </w:r>
          </w:p>
          <w:p w14:paraId="1C77EC0E"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p>
        </w:tc>
      </w:tr>
      <w:tr w:rsidR="00E568A1" w:rsidRPr="00404515" w14:paraId="39035582" w14:textId="77777777" w:rsidTr="00BB565B">
        <w:trPr>
          <w:trHeight w:val="585"/>
        </w:trPr>
        <w:tc>
          <w:tcPr>
            <w:tcW w:w="3969" w:type="dxa"/>
            <w:shd w:val="clear" w:color="auto" w:fill="F6C0C4"/>
          </w:tcPr>
          <w:p w14:paraId="19AD484C" w14:textId="77777777" w:rsidR="00BB565B" w:rsidRPr="00BB565B" w:rsidRDefault="00BB565B" w:rsidP="00E221F6">
            <w:pPr>
              <w:autoSpaceDE w:val="0"/>
              <w:autoSpaceDN w:val="0"/>
              <w:adjustRightInd w:val="0"/>
              <w:spacing w:after="0" w:line="240" w:lineRule="auto"/>
              <w:rPr>
                <w:rFonts w:ascii="Arial" w:hAnsi="Arial" w:cs="Arial"/>
                <w:bCs/>
                <w:color w:val="000000"/>
                <w:sz w:val="12"/>
                <w:szCs w:val="12"/>
                <w:lang w:val="uk-UA"/>
              </w:rPr>
            </w:pPr>
          </w:p>
          <w:p w14:paraId="27BB4921" w14:textId="6DBDD6F3" w:rsidR="00E568A1" w:rsidRPr="00E221F6" w:rsidRDefault="00E568A1" w:rsidP="00E221F6">
            <w:pPr>
              <w:autoSpaceDE w:val="0"/>
              <w:autoSpaceDN w:val="0"/>
              <w:adjustRightInd w:val="0"/>
              <w:spacing w:after="0" w:line="240" w:lineRule="auto"/>
              <w:rPr>
                <w:rFonts w:ascii="Arial" w:hAnsi="Arial" w:cs="Arial"/>
                <w:bCs/>
                <w:color w:val="000000"/>
                <w:sz w:val="20"/>
                <w:szCs w:val="20"/>
                <w:lang w:val="uk-UA"/>
              </w:rPr>
            </w:pPr>
            <w:r w:rsidRPr="00E221F6">
              <w:rPr>
                <w:rFonts w:ascii="Arial" w:hAnsi="Arial" w:cs="Arial"/>
                <w:bCs/>
                <w:color w:val="000000"/>
                <w:sz w:val="20"/>
                <w:szCs w:val="20"/>
                <w:lang w:val="uk-UA"/>
              </w:rPr>
              <w:t xml:space="preserve">Середній час </w:t>
            </w:r>
            <w:r w:rsidR="001C7344">
              <w:rPr>
                <w:rFonts w:ascii="Arial" w:hAnsi="Arial" w:cs="Arial"/>
                <w:bCs/>
                <w:color w:val="000000"/>
                <w:sz w:val="20"/>
                <w:szCs w:val="20"/>
                <w:lang w:val="uk-UA"/>
              </w:rPr>
              <w:t>конверсії</w:t>
            </w:r>
            <w:r w:rsidRPr="00E221F6">
              <w:rPr>
                <w:rFonts w:ascii="Arial" w:hAnsi="Arial" w:cs="Arial"/>
                <w:bCs/>
                <w:color w:val="000000"/>
                <w:sz w:val="20"/>
                <w:szCs w:val="20"/>
                <w:lang w:val="uk-UA"/>
              </w:rPr>
              <w:t xml:space="preserve"> мокротиння</w:t>
            </w:r>
          </w:p>
          <w:p w14:paraId="56F12F55" w14:textId="77777777" w:rsidR="00E568A1" w:rsidRDefault="00E568A1" w:rsidP="00E221F6">
            <w:pPr>
              <w:autoSpaceDE w:val="0"/>
              <w:autoSpaceDN w:val="0"/>
              <w:adjustRightInd w:val="0"/>
              <w:spacing w:after="0" w:line="240" w:lineRule="auto"/>
              <w:rPr>
                <w:rFonts w:ascii="Arial" w:hAnsi="Arial" w:cs="Arial"/>
                <w:bCs/>
                <w:color w:val="000000"/>
                <w:sz w:val="16"/>
                <w:szCs w:val="16"/>
                <w:lang w:val="uk-UA"/>
              </w:rPr>
            </w:pPr>
          </w:p>
          <w:p w14:paraId="7DB1C07E" w14:textId="77777777" w:rsidR="00BB565B" w:rsidRPr="00BB565B" w:rsidRDefault="00BB565B" w:rsidP="00E221F6">
            <w:pPr>
              <w:autoSpaceDE w:val="0"/>
              <w:autoSpaceDN w:val="0"/>
              <w:adjustRightInd w:val="0"/>
              <w:spacing w:after="0" w:line="240" w:lineRule="auto"/>
              <w:rPr>
                <w:rFonts w:ascii="Arial" w:hAnsi="Arial" w:cs="Arial"/>
                <w:bCs/>
                <w:color w:val="000000"/>
                <w:sz w:val="16"/>
                <w:szCs w:val="16"/>
                <w:lang w:val="uk-UA"/>
              </w:rPr>
            </w:pPr>
          </w:p>
        </w:tc>
        <w:tc>
          <w:tcPr>
            <w:tcW w:w="2004" w:type="dxa"/>
            <w:shd w:val="clear" w:color="auto" w:fill="F6C0C4"/>
          </w:tcPr>
          <w:p w14:paraId="2732A234" w14:textId="77777777" w:rsidR="00BB565B" w:rsidRPr="00BB565B" w:rsidRDefault="00BB565B" w:rsidP="00E221F6">
            <w:pPr>
              <w:autoSpaceDE w:val="0"/>
              <w:autoSpaceDN w:val="0"/>
              <w:adjustRightInd w:val="0"/>
              <w:spacing w:after="0" w:line="240" w:lineRule="auto"/>
              <w:jc w:val="center"/>
              <w:rPr>
                <w:rFonts w:ascii="Arial" w:hAnsi="Arial" w:cs="Arial"/>
                <w:bCs/>
                <w:color w:val="000000"/>
                <w:sz w:val="12"/>
                <w:szCs w:val="12"/>
                <w:lang w:val="uk-UA"/>
              </w:rPr>
            </w:pPr>
          </w:p>
          <w:p w14:paraId="5C856541"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20"/>
                <w:szCs w:val="20"/>
                <w:lang w:val="uk-UA"/>
              </w:rPr>
            </w:pPr>
            <w:r w:rsidRPr="00E221F6">
              <w:rPr>
                <w:rFonts w:ascii="Arial" w:hAnsi="Arial" w:cs="Arial"/>
                <w:bCs/>
                <w:color w:val="000000"/>
                <w:sz w:val="20"/>
                <w:szCs w:val="20"/>
                <w:lang w:val="uk-UA"/>
              </w:rPr>
              <w:t>83 дні</w:t>
            </w:r>
          </w:p>
          <w:p w14:paraId="048A4995" w14:textId="200478F9" w:rsidR="00E568A1" w:rsidRPr="00E221F6" w:rsidRDefault="00E568A1" w:rsidP="00E221F6">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 xml:space="preserve">(95% </w:t>
            </w:r>
            <w:r w:rsidR="000657C9">
              <w:rPr>
                <w:rFonts w:ascii="Arial" w:hAnsi="Arial" w:cs="Arial"/>
                <w:color w:val="000000"/>
                <w:sz w:val="20"/>
                <w:szCs w:val="20"/>
                <w:lang w:val="uk-UA"/>
              </w:rPr>
              <w:t>С</w:t>
            </w:r>
            <w:r w:rsidRPr="00E221F6">
              <w:rPr>
                <w:rFonts w:ascii="Arial" w:hAnsi="Arial" w:cs="Arial"/>
                <w:color w:val="000000"/>
                <w:sz w:val="20"/>
                <w:szCs w:val="20"/>
                <w:lang w:val="uk-UA"/>
              </w:rPr>
              <w:t>І</w:t>
            </w:r>
            <w:r w:rsidRPr="00E221F6">
              <w:rPr>
                <w:rFonts w:ascii="Arial" w:hAnsi="Arial" w:cs="Arial"/>
                <w:color w:val="000000"/>
                <w:sz w:val="20"/>
                <w:szCs w:val="20"/>
                <w:lang w:val="en-US"/>
              </w:rPr>
              <w:t>: 56,97)</w:t>
            </w:r>
          </w:p>
          <w:p w14:paraId="483579DF" w14:textId="77777777" w:rsidR="00E568A1" w:rsidRPr="00BB565B" w:rsidRDefault="00E568A1" w:rsidP="00E221F6">
            <w:pPr>
              <w:autoSpaceDE w:val="0"/>
              <w:autoSpaceDN w:val="0"/>
              <w:adjustRightInd w:val="0"/>
              <w:spacing w:after="0" w:line="240" w:lineRule="auto"/>
              <w:jc w:val="center"/>
              <w:rPr>
                <w:rFonts w:ascii="Arial" w:hAnsi="Arial" w:cs="Arial"/>
                <w:bCs/>
                <w:color w:val="000000"/>
                <w:sz w:val="12"/>
                <w:szCs w:val="12"/>
                <w:lang w:val="uk-UA"/>
              </w:rPr>
            </w:pPr>
          </w:p>
        </w:tc>
        <w:tc>
          <w:tcPr>
            <w:tcW w:w="2005" w:type="dxa"/>
            <w:shd w:val="clear" w:color="auto" w:fill="F6C0C4"/>
          </w:tcPr>
          <w:p w14:paraId="46914850" w14:textId="77777777" w:rsidR="00BB565B" w:rsidRPr="00BB565B" w:rsidRDefault="00BB565B" w:rsidP="00E221F6">
            <w:pPr>
              <w:autoSpaceDE w:val="0"/>
              <w:autoSpaceDN w:val="0"/>
              <w:adjustRightInd w:val="0"/>
              <w:spacing w:after="0" w:line="240" w:lineRule="auto"/>
              <w:jc w:val="center"/>
              <w:rPr>
                <w:rFonts w:ascii="Arial" w:hAnsi="Arial" w:cs="Arial"/>
                <w:bCs/>
                <w:color w:val="000000"/>
                <w:sz w:val="12"/>
                <w:szCs w:val="12"/>
                <w:lang w:val="uk-UA"/>
              </w:rPr>
            </w:pPr>
          </w:p>
          <w:p w14:paraId="4E8FF8E8"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20"/>
                <w:szCs w:val="20"/>
                <w:lang w:val="uk-UA"/>
              </w:rPr>
            </w:pPr>
            <w:r w:rsidRPr="00E221F6">
              <w:rPr>
                <w:rFonts w:ascii="Arial" w:hAnsi="Arial" w:cs="Arial"/>
                <w:bCs/>
                <w:color w:val="000000"/>
                <w:sz w:val="20"/>
                <w:szCs w:val="20"/>
                <w:lang w:val="uk-UA"/>
              </w:rPr>
              <w:t>125 днів</w:t>
            </w:r>
          </w:p>
          <w:p w14:paraId="044CBFF1" w14:textId="63C7D063" w:rsidR="00E568A1" w:rsidRPr="00E221F6" w:rsidRDefault="00E568A1" w:rsidP="00E221F6">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 xml:space="preserve">(95% </w:t>
            </w:r>
            <w:r w:rsidR="000657C9">
              <w:rPr>
                <w:rFonts w:ascii="Arial" w:hAnsi="Arial" w:cs="Arial"/>
                <w:color w:val="000000"/>
                <w:sz w:val="20"/>
                <w:szCs w:val="20"/>
                <w:lang w:val="uk-UA"/>
              </w:rPr>
              <w:t>С</w:t>
            </w:r>
            <w:r w:rsidRPr="00E221F6">
              <w:rPr>
                <w:rFonts w:ascii="Arial" w:hAnsi="Arial" w:cs="Arial"/>
                <w:color w:val="000000"/>
                <w:sz w:val="20"/>
                <w:szCs w:val="20"/>
                <w:lang w:val="uk-UA"/>
              </w:rPr>
              <w:t>І</w:t>
            </w:r>
            <w:r w:rsidRPr="00E221F6">
              <w:rPr>
                <w:rFonts w:ascii="Arial" w:hAnsi="Arial" w:cs="Arial"/>
                <w:color w:val="000000"/>
                <w:sz w:val="20"/>
                <w:szCs w:val="20"/>
                <w:lang w:val="en-US"/>
              </w:rPr>
              <w:t>: 98,168)</w:t>
            </w:r>
          </w:p>
          <w:p w14:paraId="0F6C23FF" w14:textId="77777777" w:rsidR="00E568A1" w:rsidRPr="00BB565B" w:rsidRDefault="00E568A1" w:rsidP="00E221F6">
            <w:pPr>
              <w:autoSpaceDE w:val="0"/>
              <w:autoSpaceDN w:val="0"/>
              <w:adjustRightInd w:val="0"/>
              <w:spacing w:after="0" w:line="240" w:lineRule="auto"/>
              <w:jc w:val="center"/>
              <w:rPr>
                <w:rFonts w:ascii="Arial" w:hAnsi="Arial" w:cs="Arial"/>
                <w:bCs/>
                <w:color w:val="000000"/>
                <w:sz w:val="12"/>
                <w:szCs w:val="12"/>
                <w:lang w:val="uk-UA"/>
              </w:rPr>
            </w:pPr>
          </w:p>
        </w:tc>
        <w:tc>
          <w:tcPr>
            <w:tcW w:w="1378" w:type="dxa"/>
            <w:shd w:val="clear" w:color="auto" w:fill="F6C0C4"/>
          </w:tcPr>
          <w:p w14:paraId="42AD9DE4" w14:textId="77777777" w:rsidR="00BB565B" w:rsidRPr="00BB565B" w:rsidRDefault="00BB565B" w:rsidP="00E221F6">
            <w:pPr>
              <w:autoSpaceDE w:val="0"/>
              <w:autoSpaceDN w:val="0"/>
              <w:adjustRightInd w:val="0"/>
              <w:spacing w:after="0" w:line="240" w:lineRule="auto"/>
              <w:jc w:val="center"/>
              <w:rPr>
                <w:rFonts w:ascii="Arial" w:hAnsi="Arial" w:cs="Arial"/>
                <w:color w:val="000000"/>
                <w:sz w:val="12"/>
                <w:szCs w:val="12"/>
                <w:lang w:val="en-US"/>
              </w:rPr>
            </w:pPr>
          </w:p>
          <w:p w14:paraId="198F0CC5"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&lt;0.0001</w:t>
            </w:r>
          </w:p>
          <w:p w14:paraId="1FE9AC59"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20"/>
                <w:szCs w:val="20"/>
                <w:lang w:val="uk-UA"/>
              </w:rPr>
            </w:pPr>
          </w:p>
          <w:p w14:paraId="62859072" w14:textId="77777777" w:rsidR="00E568A1" w:rsidRPr="00BB565B" w:rsidRDefault="00E568A1" w:rsidP="00E221F6">
            <w:pPr>
              <w:autoSpaceDE w:val="0"/>
              <w:autoSpaceDN w:val="0"/>
              <w:adjustRightInd w:val="0"/>
              <w:spacing w:after="0" w:line="240" w:lineRule="auto"/>
              <w:jc w:val="center"/>
              <w:rPr>
                <w:rFonts w:ascii="Arial" w:hAnsi="Arial" w:cs="Arial"/>
                <w:bCs/>
                <w:color w:val="000000"/>
                <w:sz w:val="12"/>
                <w:szCs w:val="12"/>
                <w:lang w:val="uk-UA"/>
              </w:rPr>
            </w:pPr>
          </w:p>
        </w:tc>
      </w:tr>
      <w:tr w:rsidR="00E568A1" w:rsidRPr="00404515" w14:paraId="58910181" w14:textId="77777777" w:rsidTr="00BB565B">
        <w:trPr>
          <w:trHeight w:val="1643"/>
        </w:trPr>
        <w:tc>
          <w:tcPr>
            <w:tcW w:w="3969" w:type="dxa"/>
          </w:tcPr>
          <w:p w14:paraId="4FF42BE0" w14:textId="77777777" w:rsidR="00E568A1" w:rsidRPr="00BB565B" w:rsidRDefault="00E568A1" w:rsidP="00660FD1">
            <w:pPr>
              <w:autoSpaceDE w:val="0"/>
              <w:autoSpaceDN w:val="0"/>
              <w:adjustRightInd w:val="0"/>
              <w:spacing w:after="0" w:line="240" w:lineRule="auto"/>
              <w:rPr>
                <w:rFonts w:ascii="Arial" w:hAnsi="Arial" w:cs="Arial"/>
                <w:bCs/>
                <w:color w:val="000000"/>
                <w:sz w:val="16"/>
                <w:szCs w:val="16"/>
                <w:lang w:val="uk-UA"/>
              </w:rPr>
            </w:pPr>
          </w:p>
          <w:p w14:paraId="65440D6F" w14:textId="78A8539F" w:rsidR="00E568A1" w:rsidRPr="00E221F6" w:rsidRDefault="0049408A" w:rsidP="00660FD1">
            <w:pPr>
              <w:autoSpaceDE w:val="0"/>
              <w:autoSpaceDN w:val="0"/>
              <w:adjustRightInd w:val="0"/>
              <w:spacing w:after="0" w:line="240" w:lineRule="auto"/>
              <w:rPr>
                <w:rFonts w:ascii="Arial" w:hAnsi="Arial" w:cs="Arial"/>
                <w:bCs/>
                <w:color w:val="000000"/>
                <w:sz w:val="20"/>
                <w:szCs w:val="20"/>
                <w:lang w:val="uk-UA"/>
              </w:rPr>
            </w:pPr>
            <w:r>
              <w:rPr>
                <w:rFonts w:ascii="Arial" w:hAnsi="Arial" w:cs="Arial"/>
                <w:bCs/>
                <w:color w:val="000000"/>
                <w:sz w:val="20"/>
                <w:szCs w:val="20"/>
                <w:lang w:val="uk-UA"/>
              </w:rPr>
              <w:t>Відсоток</w:t>
            </w:r>
            <w:r w:rsidR="00E568A1" w:rsidRPr="00E221F6">
              <w:rPr>
                <w:rFonts w:ascii="Arial" w:hAnsi="Arial" w:cs="Arial"/>
                <w:bCs/>
                <w:color w:val="000000"/>
                <w:sz w:val="20"/>
                <w:szCs w:val="20"/>
                <w:lang w:val="uk-UA"/>
              </w:rPr>
              <w:t xml:space="preserve"> пацієнтів з конверсією </w:t>
            </w:r>
            <w:r w:rsidR="00BB565B">
              <w:rPr>
                <w:rFonts w:ascii="Arial" w:hAnsi="Arial" w:cs="Arial"/>
                <w:bCs/>
                <w:color w:val="000000"/>
                <w:sz w:val="20"/>
                <w:szCs w:val="20"/>
                <w:lang w:val="uk-UA"/>
              </w:rPr>
              <w:t>культури</w:t>
            </w:r>
          </w:p>
          <w:p w14:paraId="7EC44C16" w14:textId="77777777" w:rsidR="00BB565B" w:rsidRPr="00BB565B" w:rsidRDefault="00BB565B" w:rsidP="00660FD1">
            <w:pPr>
              <w:autoSpaceDE w:val="0"/>
              <w:autoSpaceDN w:val="0"/>
              <w:adjustRightInd w:val="0"/>
              <w:spacing w:after="0" w:line="240" w:lineRule="auto"/>
              <w:rPr>
                <w:rFonts w:ascii="Arial" w:hAnsi="Arial" w:cs="Arial"/>
                <w:bCs/>
                <w:color w:val="000000"/>
                <w:sz w:val="16"/>
                <w:szCs w:val="16"/>
                <w:lang w:val="uk-UA"/>
              </w:rPr>
            </w:pPr>
          </w:p>
          <w:p w14:paraId="4BA7F65B" w14:textId="77777777" w:rsidR="00E568A1" w:rsidRPr="00E221F6" w:rsidRDefault="00E568A1" w:rsidP="00660FD1">
            <w:pPr>
              <w:autoSpaceDE w:val="0"/>
              <w:autoSpaceDN w:val="0"/>
              <w:adjustRightInd w:val="0"/>
              <w:spacing w:after="0" w:line="240" w:lineRule="auto"/>
              <w:rPr>
                <w:rFonts w:ascii="Arial" w:hAnsi="Arial" w:cs="Arial"/>
                <w:bCs/>
                <w:color w:val="000000"/>
                <w:sz w:val="20"/>
                <w:szCs w:val="20"/>
                <w:lang w:val="uk-UA"/>
              </w:rPr>
            </w:pPr>
            <w:r w:rsidRPr="00E221F6">
              <w:rPr>
                <w:rFonts w:ascii="Arial" w:hAnsi="Arial" w:cs="Arial"/>
                <w:bCs/>
                <w:color w:val="000000"/>
                <w:sz w:val="20"/>
                <w:szCs w:val="20"/>
                <w:lang w:val="uk-UA"/>
              </w:rPr>
              <w:t>24-й тиждень</w:t>
            </w:r>
          </w:p>
          <w:p w14:paraId="05A2DF66" w14:textId="77777777" w:rsidR="00E568A1" w:rsidRPr="00E221F6" w:rsidRDefault="00E568A1" w:rsidP="00660FD1">
            <w:pPr>
              <w:autoSpaceDE w:val="0"/>
              <w:autoSpaceDN w:val="0"/>
              <w:adjustRightInd w:val="0"/>
              <w:spacing w:after="0" w:line="240" w:lineRule="auto"/>
              <w:rPr>
                <w:rFonts w:ascii="Arial" w:hAnsi="Arial" w:cs="Arial"/>
                <w:bCs/>
                <w:color w:val="000000"/>
                <w:sz w:val="20"/>
                <w:szCs w:val="20"/>
                <w:lang w:val="uk-UA"/>
              </w:rPr>
            </w:pPr>
            <w:r w:rsidRPr="00E221F6">
              <w:rPr>
                <w:rFonts w:ascii="Arial" w:hAnsi="Arial" w:cs="Arial"/>
                <w:bCs/>
                <w:color w:val="000000"/>
                <w:sz w:val="20"/>
                <w:szCs w:val="20"/>
                <w:lang w:val="uk-UA"/>
              </w:rPr>
              <w:t>72-й тиждень</w:t>
            </w:r>
          </w:p>
          <w:p w14:paraId="5460F377" w14:textId="77777777" w:rsidR="00E568A1" w:rsidRPr="00E221F6" w:rsidRDefault="00E568A1" w:rsidP="00660FD1">
            <w:pPr>
              <w:autoSpaceDE w:val="0"/>
              <w:autoSpaceDN w:val="0"/>
              <w:adjustRightInd w:val="0"/>
              <w:spacing w:after="0" w:line="240" w:lineRule="auto"/>
              <w:rPr>
                <w:rFonts w:ascii="Arial" w:hAnsi="Arial" w:cs="Arial"/>
                <w:bCs/>
                <w:color w:val="000000"/>
                <w:sz w:val="20"/>
                <w:szCs w:val="20"/>
                <w:lang w:val="uk-UA"/>
              </w:rPr>
            </w:pPr>
            <w:r w:rsidRPr="00E221F6">
              <w:rPr>
                <w:rFonts w:ascii="Arial" w:hAnsi="Arial" w:cs="Arial"/>
                <w:bCs/>
                <w:color w:val="000000"/>
                <w:sz w:val="20"/>
                <w:szCs w:val="20"/>
                <w:lang w:val="uk-UA"/>
              </w:rPr>
              <w:t>120-й тиждень</w:t>
            </w:r>
          </w:p>
        </w:tc>
        <w:tc>
          <w:tcPr>
            <w:tcW w:w="2004" w:type="dxa"/>
          </w:tcPr>
          <w:p w14:paraId="26690AE7" w14:textId="77777777" w:rsidR="00E568A1" w:rsidRPr="00E221F6" w:rsidRDefault="00E568A1" w:rsidP="00660FD1">
            <w:pPr>
              <w:autoSpaceDE w:val="0"/>
              <w:autoSpaceDN w:val="0"/>
              <w:adjustRightInd w:val="0"/>
              <w:spacing w:after="0" w:line="240" w:lineRule="auto"/>
              <w:jc w:val="center"/>
              <w:rPr>
                <w:rFonts w:ascii="Arial" w:hAnsi="Arial" w:cs="Arial"/>
                <w:bCs/>
                <w:color w:val="000000"/>
                <w:sz w:val="20"/>
                <w:szCs w:val="20"/>
                <w:lang w:val="uk-UA"/>
              </w:rPr>
            </w:pPr>
          </w:p>
          <w:p w14:paraId="26D3FE43" w14:textId="77777777" w:rsidR="00E568A1" w:rsidRDefault="00E568A1" w:rsidP="00660FD1">
            <w:pPr>
              <w:autoSpaceDE w:val="0"/>
              <w:autoSpaceDN w:val="0"/>
              <w:adjustRightInd w:val="0"/>
              <w:spacing w:after="0" w:line="240" w:lineRule="auto"/>
              <w:jc w:val="center"/>
              <w:rPr>
                <w:rFonts w:ascii="Arial" w:hAnsi="Arial" w:cs="Arial"/>
                <w:color w:val="000000"/>
                <w:sz w:val="20"/>
                <w:szCs w:val="20"/>
                <w:lang w:val="en-US"/>
              </w:rPr>
            </w:pPr>
          </w:p>
          <w:p w14:paraId="2DCE089D"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542D3252" w14:textId="77777777" w:rsidR="00BB565B" w:rsidRPr="00E221F6"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64F051F9" w14:textId="77777777" w:rsidR="00BB565B" w:rsidRPr="00E221F6" w:rsidRDefault="00BB565B" w:rsidP="00BB565B">
            <w:pPr>
              <w:autoSpaceDE w:val="0"/>
              <w:autoSpaceDN w:val="0"/>
              <w:adjustRightInd w:val="0"/>
              <w:spacing w:after="0" w:line="240" w:lineRule="auto"/>
              <w:jc w:val="center"/>
              <w:rPr>
                <w:rFonts w:ascii="Arial" w:hAnsi="Arial" w:cs="Arial"/>
                <w:color w:val="000000"/>
                <w:sz w:val="20"/>
                <w:szCs w:val="20"/>
                <w:lang w:val="uk-UA"/>
              </w:rPr>
            </w:pPr>
            <w:r w:rsidRPr="00E221F6">
              <w:rPr>
                <w:rFonts w:ascii="Arial" w:hAnsi="Arial" w:cs="Arial"/>
                <w:color w:val="000000"/>
                <w:sz w:val="20"/>
                <w:szCs w:val="20"/>
                <w:lang w:val="en-US"/>
              </w:rPr>
              <w:t>78.8 %</w:t>
            </w:r>
          </w:p>
          <w:p w14:paraId="7285A3A8" w14:textId="77777777" w:rsidR="00BB565B" w:rsidRPr="00E221F6" w:rsidRDefault="00BB565B" w:rsidP="00BB565B">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71.2%</w:t>
            </w:r>
          </w:p>
          <w:p w14:paraId="0BE45AF2" w14:textId="77777777" w:rsidR="00E568A1" w:rsidRPr="00BB565B" w:rsidRDefault="00BB565B" w:rsidP="00BB565B">
            <w:pPr>
              <w:autoSpaceDE w:val="0"/>
              <w:autoSpaceDN w:val="0"/>
              <w:adjustRightInd w:val="0"/>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62.1%</w:t>
            </w:r>
          </w:p>
        </w:tc>
        <w:tc>
          <w:tcPr>
            <w:tcW w:w="2005" w:type="dxa"/>
          </w:tcPr>
          <w:p w14:paraId="5281B394" w14:textId="77777777" w:rsidR="00E568A1" w:rsidRPr="00E221F6" w:rsidRDefault="00E568A1" w:rsidP="00660FD1">
            <w:pPr>
              <w:autoSpaceDE w:val="0"/>
              <w:autoSpaceDN w:val="0"/>
              <w:adjustRightInd w:val="0"/>
              <w:spacing w:after="0" w:line="240" w:lineRule="auto"/>
              <w:jc w:val="center"/>
              <w:rPr>
                <w:rFonts w:ascii="Arial" w:hAnsi="Arial" w:cs="Arial"/>
                <w:bCs/>
                <w:color w:val="000000"/>
                <w:sz w:val="20"/>
                <w:szCs w:val="20"/>
                <w:lang w:val="uk-UA"/>
              </w:rPr>
            </w:pPr>
          </w:p>
          <w:p w14:paraId="54D32169"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42B5A185"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4D024621"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6B493F85" w14:textId="77777777" w:rsidR="00E568A1" w:rsidRPr="00E221F6" w:rsidRDefault="00E568A1" w:rsidP="00660FD1">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57.6%</w:t>
            </w:r>
          </w:p>
          <w:p w14:paraId="7416C1DB" w14:textId="77777777" w:rsidR="00E568A1" w:rsidRPr="00E221F6" w:rsidRDefault="00E568A1" w:rsidP="00660FD1">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56.1%</w:t>
            </w:r>
          </w:p>
          <w:p w14:paraId="2817E82B" w14:textId="77777777" w:rsidR="00E568A1" w:rsidRPr="00BB565B" w:rsidRDefault="00BB565B" w:rsidP="00BB565B">
            <w:pPr>
              <w:autoSpaceDE w:val="0"/>
              <w:autoSpaceDN w:val="0"/>
              <w:adjustRightInd w:val="0"/>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43.9%</w:t>
            </w:r>
          </w:p>
        </w:tc>
        <w:tc>
          <w:tcPr>
            <w:tcW w:w="1378" w:type="dxa"/>
          </w:tcPr>
          <w:p w14:paraId="38328BF8" w14:textId="77777777" w:rsidR="00E568A1" w:rsidRPr="00E221F6" w:rsidRDefault="00E568A1" w:rsidP="00660FD1">
            <w:pPr>
              <w:autoSpaceDE w:val="0"/>
              <w:autoSpaceDN w:val="0"/>
              <w:adjustRightInd w:val="0"/>
              <w:spacing w:after="0" w:line="240" w:lineRule="auto"/>
              <w:jc w:val="center"/>
              <w:rPr>
                <w:rFonts w:ascii="Arial" w:hAnsi="Arial" w:cs="Arial"/>
                <w:bCs/>
                <w:color w:val="000000"/>
                <w:sz w:val="20"/>
                <w:szCs w:val="20"/>
                <w:lang w:val="uk-UA"/>
              </w:rPr>
            </w:pPr>
          </w:p>
          <w:p w14:paraId="0630747A"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0BF11576"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3AD0F8A1" w14:textId="77777777" w:rsidR="00BB565B" w:rsidRDefault="00BB565B" w:rsidP="00660FD1">
            <w:pPr>
              <w:autoSpaceDE w:val="0"/>
              <w:autoSpaceDN w:val="0"/>
              <w:adjustRightInd w:val="0"/>
              <w:spacing w:after="0" w:line="240" w:lineRule="auto"/>
              <w:jc w:val="center"/>
              <w:rPr>
                <w:rFonts w:ascii="Arial" w:hAnsi="Arial" w:cs="Arial"/>
                <w:color w:val="000000"/>
                <w:sz w:val="20"/>
                <w:szCs w:val="20"/>
                <w:lang w:val="en-US"/>
              </w:rPr>
            </w:pPr>
          </w:p>
          <w:p w14:paraId="7DDF0B21" w14:textId="77777777" w:rsidR="00E568A1" w:rsidRPr="00E221F6" w:rsidRDefault="00E568A1" w:rsidP="00660FD1">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0.008</w:t>
            </w:r>
          </w:p>
          <w:p w14:paraId="70BAFE9A" w14:textId="77777777" w:rsidR="00E568A1" w:rsidRPr="00E221F6" w:rsidRDefault="00E568A1" w:rsidP="00660FD1">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0.069</w:t>
            </w:r>
          </w:p>
          <w:p w14:paraId="50C63F79" w14:textId="77777777" w:rsidR="00E568A1" w:rsidRPr="00E221F6" w:rsidRDefault="00E568A1" w:rsidP="00660FD1">
            <w:pPr>
              <w:autoSpaceDE w:val="0"/>
              <w:autoSpaceDN w:val="0"/>
              <w:adjustRightInd w:val="0"/>
              <w:spacing w:after="0" w:line="240" w:lineRule="auto"/>
              <w:jc w:val="center"/>
              <w:rPr>
                <w:rFonts w:ascii="Arial" w:hAnsi="Arial" w:cs="Arial"/>
                <w:color w:val="000000"/>
                <w:sz w:val="20"/>
                <w:szCs w:val="20"/>
                <w:lang w:val="uk-UA"/>
              </w:rPr>
            </w:pPr>
            <w:r w:rsidRPr="00E221F6">
              <w:rPr>
                <w:rFonts w:ascii="Arial" w:hAnsi="Arial" w:cs="Arial"/>
                <w:color w:val="000000"/>
                <w:sz w:val="20"/>
                <w:szCs w:val="20"/>
                <w:lang w:val="en-US"/>
              </w:rPr>
              <w:t>0.035</w:t>
            </w:r>
          </w:p>
          <w:p w14:paraId="607DE397" w14:textId="77777777" w:rsidR="00E568A1" w:rsidRPr="00BB565B" w:rsidRDefault="00E568A1" w:rsidP="00BB565B">
            <w:pPr>
              <w:autoSpaceDE w:val="0"/>
              <w:autoSpaceDN w:val="0"/>
              <w:adjustRightInd w:val="0"/>
              <w:spacing w:after="0" w:line="240" w:lineRule="auto"/>
              <w:rPr>
                <w:rFonts w:ascii="Arial" w:hAnsi="Arial" w:cs="Arial"/>
                <w:color w:val="000000"/>
                <w:sz w:val="12"/>
                <w:szCs w:val="12"/>
                <w:lang w:val="en-US"/>
              </w:rPr>
            </w:pPr>
          </w:p>
        </w:tc>
      </w:tr>
      <w:tr w:rsidR="00E568A1" w:rsidRPr="00404515" w14:paraId="724F940D" w14:textId="77777777" w:rsidTr="00BB565B">
        <w:trPr>
          <w:trHeight w:val="615"/>
        </w:trPr>
        <w:tc>
          <w:tcPr>
            <w:tcW w:w="3969" w:type="dxa"/>
            <w:tcBorders>
              <w:bottom w:val="single" w:sz="18" w:space="0" w:color="740000"/>
            </w:tcBorders>
            <w:shd w:val="clear" w:color="auto" w:fill="F6C0C4"/>
          </w:tcPr>
          <w:p w14:paraId="4DF3900C" w14:textId="77777777" w:rsidR="00E568A1" w:rsidRPr="00E221F6" w:rsidRDefault="00E568A1" w:rsidP="00E221F6">
            <w:pPr>
              <w:autoSpaceDE w:val="0"/>
              <w:autoSpaceDN w:val="0"/>
              <w:adjustRightInd w:val="0"/>
              <w:rPr>
                <w:rFonts w:ascii="Arial" w:hAnsi="Arial" w:cs="Arial"/>
                <w:bCs/>
                <w:color w:val="000000"/>
                <w:sz w:val="20"/>
                <w:szCs w:val="20"/>
                <w:lang w:val="uk-UA"/>
              </w:rPr>
            </w:pPr>
            <w:r w:rsidRPr="00E221F6">
              <w:rPr>
                <w:rFonts w:ascii="Arial" w:hAnsi="Arial" w:cs="Arial"/>
                <w:bCs/>
                <w:color w:val="000000"/>
                <w:sz w:val="20"/>
                <w:szCs w:val="20"/>
                <w:lang w:val="uk-UA"/>
              </w:rPr>
              <w:t>Кількісне співвідношення тих, хто одужав</w:t>
            </w:r>
          </w:p>
        </w:tc>
        <w:tc>
          <w:tcPr>
            <w:tcW w:w="2004" w:type="dxa"/>
            <w:tcBorders>
              <w:bottom w:val="single" w:sz="18" w:space="0" w:color="740000"/>
            </w:tcBorders>
            <w:shd w:val="clear" w:color="auto" w:fill="F6C0C4"/>
          </w:tcPr>
          <w:p w14:paraId="13EA0291" w14:textId="77777777" w:rsidR="00E568A1" w:rsidRPr="00E221F6" w:rsidRDefault="00E568A1" w:rsidP="00E221F6">
            <w:pPr>
              <w:autoSpaceDE w:val="0"/>
              <w:autoSpaceDN w:val="0"/>
              <w:adjustRightInd w:val="0"/>
              <w:jc w:val="center"/>
              <w:rPr>
                <w:rFonts w:ascii="Arial" w:hAnsi="Arial" w:cs="Arial"/>
                <w:bCs/>
                <w:color w:val="000000"/>
                <w:sz w:val="20"/>
                <w:szCs w:val="20"/>
                <w:lang w:val="uk-UA"/>
              </w:rPr>
            </w:pPr>
            <w:r w:rsidRPr="00E221F6">
              <w:rPr>
                <w:rFonts w:ascii="Arial" w:hAnsi="Arial" w:cs="Arial"/>
                <w:color w:val="000000"/>
                <w:sz w:val="20"/>
                <w:szCs w:val="20"/>
                <w:lang w:val="en-US"/>
              </w:rPr>
              <w:t>57.6% (38/66)</w:t>
            </w:r>
          </w:p>
        </w:tc>
        <w:tc>
          <w:tcPr>
            <w:tcW w:w="2005" w:type="dxa"/>
            <w:tcBorders>
              <w:bottom w:val="single" w:sz="18" w:space="0" w:color="740000"/>
            </w:tcBorders>
            <w:shd w:val="clear" w:color="auto" w:fill="F6C0C4"/>
          </w:tcPr>
          <w:p w14:paraId="13711EDD" w14:textId="77777777" w:rsidR="00E568A1" w:rsidRPr="00E221F6" w:rsidRDefault="00E568A1" w:rsidP="00E221F6">
            <w:pPr>
              <w:autoSpaceDE w:val="0"/>
              <w:autoSpaceDN w:val="0"/>
              <w:adjustRightInd w:val="0"/>
              <w:jc w:val="center"/>
              <w:rPr>
                <w:rFonts w:ascii="Arial" w:hAnsi="Arial" w:cs="Arial"/>
                <w:bCs/>
                <w:color w:val="000000"/>
                <w:sz w:val="20"/>
                <w:szCs w:val="20"/>
                <w:lang w:val="uk-UA"/>
              </w:rPr>
            </w:pPr>
            <w:r w:rsidRPr="00E221F6">
              <w:rPr>
                <w:rFonts w:ascii="Arial" w:hAnsi="Arial" w:cs="Arial"/>
                <w:color w:val="000000"/>
                <w:sz w:val="20"/>
                <w:szCs w:val="20"/>
                <w:lang w:val="en-US"/>
              </w:rPr>
              <w:t>31.8% (21/66)</w:t>
            </w:r>
          </w:p>
        </w:tc>
        <w:tc>
          <w:tcPr>
            <w:tcW w:w="1378" w:type="dxa"/>
            <w:tcBorders>
              <w:bottom w:val="single" w:sz="18" w:space="0" w:color="740000"/>
            </w:tcBorders>
            <w:shd w:val="clear" w:color="auto" w:fill="F6C0C4"/>
          </w:tcPr>
          <w:p w14:paraId="75B9C1E0" w14:textId="77777777" w:rsidR="00E568A1" w:rsidRPr="00E221F6" w:rsidRDefault="00E568A1" w:rsidP="00E221F6">
            <w:pPr>
              <w:autoSpaceDE w:val="0"/>
              <w:autoSpaceDN w:val="0"/>
              <w:adjustRightInd w:val="0"/>
              <w:jc w:val="center"/>
              <w:rPr>
                <w:rFonts w:ascii="Arial" w:hAnsi="Arial" w:cs="Arial"/>
                <w:color w:val="000000"/>
                <w:sz w:val="20"/>
                <w:szCs w:val="20"/>
                <w:lang w:val="en-US"/>
              </w:rPr>
            </w:pPr>
            <w:r w:rsidRPr="00E221F6">
              <w:rPr>
                <w:rFonts w:ascii="Arial" w:hAnsi="Arial" w:cs="Arial"/>
                <w:color w:val="000000"/>
                <w:sz w:val="20"/>
                <w:szCs w:val="20"/>
                <w:lang w:val="en-US"/>
              </w:rPr>
              <w:t>0.003</w:t>
            </w:r>
          </w:p>
        </w:tc>
      </w:tr>
    </w:tbl>
    <w:p w14:paraId="71EFA34B" w14:textId="77777777" w:rsidR="00E568A1" w:rsidRDefault="00E568A1" w:rsidP="003C6D9A">
      <w:pPr>
        <w:autoSpaceDE w:val="0"/>
        <w:autoSpaceDN w:val="0"/>
        <w:adjustRightInd w:val="0"/>
        <w:spacing w:after="0" w:line="240" w:lineRule="auto"/>
        <w:jc w:val="both"/>
        <w:rPr>
          <w:rFonts w:ascii="Arial" w:hAnsi="Arial" w:cs="Arial"/>
          <w:b/>
          <w:bCs/>
          <w:color w:val="000000"/>
          <w:sz w:val="24"/>
          <w:szCs w:val="24"/>
          <w:lang w:val="uk-UA"/>
        </w:rPr>
      </w:pPr>
    </w:p>
    <w:p w14:paraId="115855BB" w14:textId="77777777" w:rsidR="00E568A1" w:rsidRPr="00413CDA" w:rsidRDefault="00E568A1" w:rsidP="0037724F">
      <w:pPr>
        <w:autoSpaceDE w:val="0"/>
        <w:autoSpaceDN w:val="0"/>
        <w:adjustRightInd w:val="0"/>
        <w:spacing w:after="0" w:line="240" w:lineRule="auto"/>
        <w:jc w:val="both"/>
        <w:rPr>
          <w:rFonts w:ascii="Arial" w:hAnsi="Arial" w:cs="Arial"/>
          <w:color w:val="000000"/>
          <w:sz w:val="18"/>
          <w:szCs w:val="18"/>
        </w:rPr>
      </w:pPr>
    </w:p>
    <w:p w14:paraId="04DDA68D" w14:textId="5E7CBA3B" w:rsidR="00E568A1" w:rsidRPr="0049408A" w:rsidRDefault="00092EC7" w:rsidP="009B51D9">
      <w:pPr>
        <w:autoSpaceDE w:val="0"/>
        <w:autoSpaceDN w:val="0"/>
        <w:adjustRightInd w:val="0"/>
        <w:spacing w:after="0" w:line="240" w:lineRule="auto"/>
        <w:outlineLvl w:val="0"/>
        <w:rPr>
          <w:rFonts w:ascii="Arial" w:hAnsi="Arial" w:cs="Arial"/>
          <w:b/>
          <w:bCs/>
          <w:color w:val="6A2041"/>
          <w:sz w:val="28"/>
          <w:szCs w:val="28"/>
        </w:rPr>
      </w:pPr>
      <w:r w:rsidRPr="0049408A">
        <w:rPr>
          <w:rFonts w:ascii="Arial" w:hAnsi="Arial" w:cs="Arial"/>
          <w:b/>
          <w:bCs/>
          <w:color w:val="6A2041"/>
          <w:sz w:val="28"/>
          <w:szCs w:val="28"/>
        </w:rPr>
        <w:t>4.2. Докази безпеки</w:t>
      </w:r>
      <w:r w:rsidR="0049408A" w:rsidRPr="0049408A">
        <w:rPr>
          <w:rFonts w:ascii="Arial" w:hAnsi="Arial" w:cs="Arial"/>
          <w:b/>
          <w:bCs/>
          <w:color w:val="6A2041"/>
          <w:sz w:val="28"/>
          <w:szCs w:val="28"/>
        </w:rPr>
        <w:t xml:space="preserve"> бедаквіліну у</w:t>
      </w:r>
      <w:r w:rsidR="00E568A1" w:rsidRPr="0049408A">
        <w:rPr>
          <w:rFonts w:ascii="Arial" w:hAnsi="Arial" w:cs="Arial"/>
          <w:b/>
          <w:bCs/>
          <w:color w:val="6A2041"/>
          <w:sz w:val="28"/>
          <w:szCs w:val="28"/>
        </w:rPr>
        <w:t xml:space="preserve"> лікуванні </w:t>
      </w:r>
      <w:r w:rsidRPr="0049408A">
        <w:rPr>
          <w:rFonts w:ascii="Arial" w:hAnsi="Arial" w:cs="Arial"/>
          <w:b/>
          <w:bCs/>
          <w:color w:val="6A2041"/>
          <w:sz w:val="28"/>
          <w:szCs w:val="28"/>
        </w:rPr>
        <w:t>МР</w:t>
      </w:r>
      <w:r w:rsidR="00E568A1" w:rsidRPr="0049408A">
        <w:rPr>
          <w:rFonts w:ascii="Arial" w:hAnsi="Arial" w:cs="Arial"/>
          <w:b/>
          <w:bCs/>
          <w:color w:val="6A2041"/>
          <w:sz w:val="28"/>
          <w:szCs w:val="28"/>
        </w:rPr>
        <w:t xml:space="preserve"> ТБ</w:t>
      </w:r>
    </w:p>
    <w:p w14:paraId="464B2ADE" w14:textId="77777777" w:rsidR="00E568A1" w:rsidRPr="002F00BA" w:rsidRDefault="00E568A1" w:rsidP="0037724F">
      <w:pPr>
        <w:autoSpaceDE w:val="0"/>
        <w:autoSpaceDN w:val="0"/>
        <w:adjustRightInd w:val="0"/>
        <w:spacing w:after="0" w:line="240" w:lineRule="auto"/>
        <w:jc w:val="both"/>
        <w:rPr>
          <w:rFonts w:ascii="Arial" w:hAnsi="Arial" w:cs="Arial"/>
          <w:b/>
          <w:bCs/>
          <w:color w:val="000000"/>
          <w:sz w:val="28"/>
          <w:szCs w:val="28"/>
        </w:rPr>
      </w:pPr>
    </w:p>
    <w:p w14:paraId="4CB8509A" w14:textId="3C56CCBF" w:rsidR="00E568A1" w:rsidRPr="007E2145" w:rsidRDefault="00570F4D" w:rsidP="007E2145">
      <w:pPr>
        <w:widowControl w:val="0"/>
        <w:autoSpaceDE w:val="0"/>
        <w:autoSpaceDN w:val="0"/>
        <w:adjustRightInd w:val="0"/>
        <w:spacing w:after="240"/>
        <w:rPr>
          <w:rFonts w:ascii="Georgia" w:hAnsi="Georgia" w:cs="Times"/>
          <w:b/>
          <w:color w:val="000000" w:themeColor="text1"/>
          <w:sz w:val="28"/>
          <w:szCs w:val="28"/>
          <w:lang w:val="en-US"/>
        </w:rPr>
      </w:pPr>
      <w:r w:rsidRPr="00CA13CC">
        <w:rPr>
          <w:rFonts w:ascii="Arial" w:hAnsi="Arial" w:cs="Arial"/>
          <w:color w:val="000000"/>
        </w:rPr>
        <w:t>База даних щодо</w:t>
      </w:r>
      <w:r w:rsidR="00092EC7">
        <w:rPr>
          <w:rFonts w:ascii="Arial" w:hAnsi="Arial" w:cs="Arial"/>
          <w:color w:val="000000"/>
        </w:rPr>
        <w:t xml:space="preserve"> безпеки</w:t>
      </w:r>
      <w:r w:rsidR="00E568A1" w:rsidRPr="00CA13CC">
        <w:rPr>
          <w:rFonts w:ascii="Arial" w:hAnsi="Arial" w:cs="Arial"/>
          <w:color w:val="000000"/>
        </w:rPr>
        <w:t xml:space="preserve"> препарату охоплювала неклінічні аспекти (фарма</w:t>
      </w:r>
      <w:r w:rsidR="00092EC7">
        <w:rPr>
          <w:rFonts w:ascii="Arial" w:hAnsi="Arial" w:cs="Arial"/>
          <w:color w:val="000000"/>
        </w:rPr>
        <w:t>кологія та токсикологія) протягом</w:t>
      </w:r>
      <w:r w:rsidR="00E568A1" w:rsidRPr="00CA13CC">
        <w:rPr>
          <w:rFonts w:ascii="Arial" w:hAnsi="Arial" w:cs="Arial"/>
          <w:color w:val="000000"/>
        </w:rPr>
        <w:t xml:space="preserve"> доклінічн</w:t>
      </w:r>
      <w:r w:rsidRPr="00CA13CC">
        <w:rPr>
          <w:rFonts w:ascii="Arial" w:hAnsi="Arial" w:cs="Arial"/>
          <w:color w:val="000000"/>
        </w:rPr>
        <w:t>ої розробки, та досвід людини у</w:t>
      </w:r>
      <w:r w:rsidR="00E568A1" w:rsidRPr="00CA13CC">
        <w:rPr>
          <w:rFonts w:ascii="Arial" w:hAnsi="Arial" w:cs="Arial"/>
          <w:color w:val="000000"/>
        </w:rPr>
        <w:t xml:space="preserve"> </w:t>
      </w:r>
      <w:r>
        <w:rPr>
          <w:rFonts w:ascii="Arial" w:hAnsi="Arial" w:cs="Arial"/>
          <w:color w:val="000000"/>
          <w:lang w:val="uk-UA"/>
        </w:rPr>
        <w:t xml:space="preserve">С208 </w:t>
      </w:r>
      <w:r w:rsidR="009D1CDF">
        <w:rPr>
          <w:rFonts w:ascii="Arial" w:hAnsi="Arial" w:cs="Arial"/>
          <w:color w:val="000000"/>
        </w:rPr>
        <w:t>дослідженні (базове</w:t>
      </w:r>
      <w:r w:rsidR="00E568A1" w:rsidRPr="00CA13CC">
        <w:rPr>
          <w:rFonts w:ascii="Arial" w:hAnsi="Arial" w:cs="Arial"/>
          <w:color w:val="000000"/>
        </w:rPr>
        <w:t xml:space="preserve"> рандомізоване контрольне випробування, подвійне сліпе плацебо-контрольоване) та дослідження </w:t>
      </w:r>
      <w:r w:rsidR="00E568A1" w:rsidRPr="00A6669B">
        <w:rPr>
          <w:rFonts w:ascii="Arial" w:hAnsi="Arial" w:cs="Arial"/>
          <w:color w:val="000000"/>
          <w:lang w:val="en-US"/>
        </w:rPr>
        <w:t>C</w:t>
      </w:r>
      <w:r w:rsidR="00E568A1" w:rsidRPr="00CA13CC">
        <w:rPr>
          <w:rFonts w:ascii="Arial" w:hAnsi="Arial" w:cs="Arial"/>
          <w:color w:val="000000"/>
        </w:rPr>
        <w:t>209 (</w:t>
      </w:r>
      <w:r w:rsidR="00092EC7" w:rsidRPr="00092EC7">
        <w:rPr>
          <w:rFonts w:ascii="Arial" w:hAnsi="Arial" w:cs="Arial"/>
          <w:color w:val="000000"/>
        </w:rPr>
        <w:t>просте</w:t>
      </w:r>
      <w:r w:rsidR="00E568A1" w:rsidRPr="00CA13CC">
        <w:rPr>
          <w:rFonts w:ascii="Arial" w:hAnsi="Arial" w:cs="Arial"/>
          <w:color w:val="000000"/>
        </w:rPr>
        <w:t xml:space="preserve"> відкрите випробування). </w:t>
      </w:r>
      <w:r w:rsidR="00064D58">
        <w:rPr>
          <w:rFonts w:ascii="Arial" w:hAnsi="Arial" w:cs="Arial"/>
          <w:color w:val="000000"/>
        </w:rPr>
        <w:t>Для опису безпеки</w:t>
      </w:r>
      <w:r>
        <w:rPr>
          <w:rFonts w:ascii="Arial" w:hAnsi="Arial" w:cs="Arial"/>
          <w:color w:val="000000"/>
        </w:rPr>
        <w:t xml:space="preserve"> препарату було </w:t>
      </w:r>
      <w:r w:rsidRPr="007E2145">
        <w:rPr>
          <w:rFonts w:ascii="Arial" w:hAnsi="Arial" w:cs="Arial"/>
          <w:color w:val="000000"/>
        </w:rPr>
        <w:t xml:space="preserve">використано </w:t>
      </w:r>
      <w:r w:rsidR="007E2145" w:rsidRPr="007E2145">
        <w:rPr>
          <w:rFonts w:ascii="Arial" w:hAnsi="Arial" w:cs="Arial"/>
          <w:color w:val="000000" w:themeColor="text1"/>
          <w:lang w:val="en-US"/>
        </w:rPr>
        <w:t>популяцію</w:t>
      </w:r>
      <w:r w:rsidR="007E2145">
        <w:rPr>
          <w:rFonts w:ascii="Arial" w:hAnsi="Arial" w:cs="Arial"/>
          <w:color w:val="000000" w:themeColor="text1"/>
          <w:lang w:val="en-US"/>
        </w:rPr>
        <w:t xml:space="preserve"> пацієнтів, які проходили</w:t>
      </w:r>
      <w:r w:rsidR="007E2145" w:rsidRPr="007E2145">
        <w:rPr>
          <w:rFonts w:ascii="Arial" w:hAnsi="Arial" w:cs="Arial"/>
          <w:color w:val="000000" w:themeColor="text1"/>
          <w:lang w:val="en-US"/>
        </w:rPr>
        <w:t xml:space="preserve"> лікування </w:t>
      </w:r>
      <w:r w:rsidR="007E2145">
        <w:rPr>
          <w:rFonts w:ascii="Arial" w:hAnsi="Arial" w:cs="Arial"/>
          <w:color w:val="000000" w:themeColor="text1"/>
          <w:lang w:val="en-US"/>
        </w:rPr>
        <w:t xml:space="preserve">(далі ITT) </w:t>
      </w:r>
      <w:r w:rsidR="007E2145" w:rsidRPr="007E2145">
        <w:rPr>
          <w:rFonts w:ascii="Arial" w:hAnsi="Arial" w:cs="Arial"/>
          <w:color w:val="000000" w:themeColor="text1"/>
          <w:lang w:val="en-US"/>
        </w:rPr>
        <w:t xml:space="preserve">і </w:t>
      </w:r>
      <w:r w:rsidR="007E2145" w:rsidRPr="007E2145">
        <w:rPr>
          <w:rFonts w:ascii="Arial" w:hAnsi="Arial" w:cs="Arial"/>
          <w:color w:val="000000"/>
        </w:rPr>
        <w:t>з</w:t>
      </w:r>
      <w:r w:rsidR="007E2145">
        <w:rPr>
          <w:rFonts w:ascii="Arial" w:hAnsi="Arial" w:cs="Arial"/>
          <w:color w:val="000000"/>
        </w:rPr>
        <w:t xml:space="preserve">агалом 160 </w:t>
      </w:r>
      <w:r w:rsidR="007E2145">
        <w:rPr>
          <w:rFonts w:ascii="Arial" w:hAnsi="Arial" w:cs="Arial"/>
          <w:color w:val="000000"/>
          <w:lang w:val="uk-UA"/>
        </w:rPr>
        <w:t>учасників</w:t>
      </w:r>
      <w:r w:rsidR="00E568A1" w:rsidRPr="007E2145">
        <w:rPr>
          <w:rFonts w:ascii="Arial" w:hAnsi="Arial" w:cs="Arial"/>
          <w:color w:val="000000"/>
        </w:rPr>
        <w:t xml:space="preserve"> зробили свій внесок в ІТТ</w:t>
      </w:r>
      <w:r w:rsidRPr="007E2145">
        <w:rPr>
          <w:rFonts w:ascii="Arial" w:hAnsi="Arial" w:cs="Arial"/>
          <w:color w:val="000000"/>
          <w:lang w:val="uk-UA"/>
        </w:rPr>
        <w:t xml:space="preserve"> аналіз</w:t>
      </w:r>
      <w:r w:rsidR="00E568A1" w:rsidRPr="007E2145">
        <w:rPr>
          <w:rFonts w:ascii="Arial" w:hAnsi="Arial" w:cs="Arial"/>
          <w:color w:val="000000"/>
        </w:rPr>
        <w:t>, 79 - у групі бедаквіліну та 81 - у групі плацебо</w:t>
      </w:r>
      <w:r w:rsidR="00E568A1" w:rsidRPr="00577A01">
        <w:rPr>
          <w:rFonts w:ascii="Arial" w:hAnsi="Arial" w:cs="Arial"/>
          <w:color w:val="000000"/>
        </w:rPr>
        <w:t xml:space="preserve">. </w:t>
      </w:r>
    </w:p>
    <w:p w14:paraId="4DC7E732" w14:textId="459739C4" w:rsidR="00E568A1" w:rsidRPr="00A60AE1" w:rsidRDefault="00E568A1" w:rsidP="0037724F">
      <w:pPr>
        <w:autoSpaceDE w:val="0"/>
        <w:autoSpaceDN w:val="0"/>
        <w:adjustRightInd w:val="0"/>
        <w:spacing w:after="0" w:line="240" w:lineRule="auto"/>
        <w:jc w:val="both"/>
        <w:rPr>
          <w:rFonts w:ascii="Arial" w:hAnsi="Arial" w:cs="Arial"/>
          <w:color w:val="000000"/>
        </w:rPr>
      </w:pPr>
      <w:r w:rsidRPr="00A60AE1">
        <w:rPr>
          <w:rFonts w:ascii="Arial" w:hAnsi="Arial" w:cs="Arial"/>
          <w:color w:val="000000"/>
        </w:rPr>
        <w:lastRenderedPageBreak/>
        <w:t>Аналогічн</w:t>
      </w:r>
      <w:r w:rsidR="00C607CA">
        <w:rPr>
          <w:rFonts w:ascii="Arial" w:hAnsi="Arial" w:cs="Arial"/>
          <w:color w:val="000000"/>
        </w:rPr>
        <w:t>а</w:t>
      </w:r>
      <w:r w:rsidRPr="00A60AE1">
        <w:rPr>
          <w:rFonts w:ascii="Arial" w:hAnsi="Arial" w:cs="Arial"/>
          <w:color w:val="000000"/>
        </w:rPr>
        <w:t xml:space="preserve"> кількість пацієнтів у групі бедаквіліну та плацебо п</w:t>
      </w:r>
      <w:r w:rsidR="007E2145">
        <w:rPr>
          <w:rFonts w:ascii="Arial" w:hAnsi="Arial" w:cs="Arial"/>
          <w:color w:val="000000"/>
        </w:rPr>
        <w:t>овідомили про побічні реакції (далі ПР</w:t>
      </w:r>
      <w:r w:rsidRPr="00A60AE1">
        <w:rPr>
          <w:rFonts w:ascii="Arial" w:hAnsi="Arial" w:cs="Arial"/>
          <w:color w:val="000000"/>
        </w:rPr>
        <w:t xml:space="preserve">) (табл. </w:t>
      </w:r>
      <w:r w:rsidRPr="00577A01">
        <w:rPr>
          <w:rFonts w:ascii="Arial" w:hAnsi="Arial" w:cs="Arial"/>
          <w:color w:val="000000"/>
        </w:rPr>
        <w:t>2). Найчастіше зареєстрованими побічними еф</w:t>
      </w:r>
      <w:r w:rsidR="00CA13CC">
        <w:rPr>
          <w:rFonts w:ascii="Arial" w:hAnsi="Arial" w:cs="Arial"/>
          <w:color w:val="000000"/>
        </w:rPr>
        <w:t>ектами у групі бедаквіліну (як при контрольованих, так і</w:t>
      </w:r>
      <w:r w:rsidRPr="00577A01">
        <w:rPr>
          <w:rFonts w:ascii="Arial" w:hAnsi="Arial" w:cs="Arial"/>
          <w:color w:val="000000"/>
        </w:rPr>
        <w:t xml:space="preserve"> неконтрольованих випробуваннях) були нудота, артралгія, головний біль та блювота. </w:t>
      </w:r>
      <w:r w:rsidRPr="00E2731D">
        <w:rPr>
          <w:rFonts w:ascii="Arial" w:hAnsi="Arial" w:cs="Arial"/>
          <w:color w:val="000000"/>
        </w:rPr>
        <w:t>Були виявл</w:t>
      </w:r>
      <w:r w:rsidR="00CA13CC">
        <w:rPr>
          <w:rFonts w:ascii="Arial" w:hAnsi="Arial" w:cs="Arial"/>
          <w:color w:val="000000"/>
        </w:rPr>
        <w:t xml:space="preserve">ені додаткові побічні </w:t>
      </w:r>
      <w:r w:rsidR="007E2145">
        <w:rPr>
          <w:rFonts w:ascii="Arial" w:hAnsi="Arial" w:cs="Arial"/>
          <w:color w:val="000000"/>
        </w:rPr>
        <w:t>реакції</w:t>
      </w:r>
      <w:r w:rsidR="00CA13CC">
        <w:rPr>
          <w:rFonts w:ascii="Arial" w:hAnsi="Arial" w:cs="Arial"/>
          <w:color w:val="000000"/>
        </w:rPr>
        <w:t xml:space="preserve">, у </w:t>
      </w:r>
      <w:r w:rsidRPr="00E2731D">
        <w:rPr>
          <w:rFonts w:ascii="Arial" w:hAnsi="Arial" w:cs="Arial"/>
          <w:color w:val="000000"/>
        </w:rPr>
        <w:t>порядку частоти: запаморочення, підвищені трансаміназ</w:t>
      </w:r>
      <w:r w:rsidR="007E2145">
        <w:rPr>
          <w:rFonts w:ascii="Arial" w:hAnsi="Arial" w:cs="Arial"/>
          <w:color w:val="000000"/>
        </w:rPr>
        <w:t>и, міалгія, діарея та подовженн</w:t>
      </w:r>
      <w:r w:rsidRPr="00E2731D">
        <w:rPr>
          <w:rFonts w:ascii="Arial" w:hAnsi="Arial" w:cs="Arial"/>
          <w:color w:val="000000"/>
        </w:rPr>
        <w:t xml:space="preserve">я </w:t>
      </w:r>
      <w:r w:rsidR="007E2145">
        <w:rPr>
          <w:rFonts w:ascii="Arial" w:hAnsi="Arial" w:cs="Arial"/>
          <w:color w:val="000000"/>
        </w:rPr>
        <w:t xml:space="preserve">інтервалу </w:t>
      </w:r>
      <w:r w:rsidRPr="00E2731D">
        <w:rPr>
          <w:rFonts w:ascii="Arial" w:hAnsi="Arial" w:cs="Arial"/>
          <w:color w:val="000000"/>
        </w:rPr>
        <w:t>QT на електрокардіограмі (ЕКГ).</w:t>
      </w:r>
    </w:p>
    <w:p w14:paraId="08FD5B0F" w14:textId="77777777" w:rsidR="00E568A1" w:rsidRPr="00CA13CC" w:rsidRDefault="00E568A1" w:rsidP="0037724F">
      <w:pPr>
        <w:autoSpaceDE w:val="0"/>
        <w:autoSpaceDN w:val="0"/>
        <w:adjustRightInd w:val="0"/>
        <w:spacing w:after="0" w:line="240" w:lineRule="auto"/>
        <w:jc w:val="both"/>
        <w:rPr>
          <w:rFonts w:ascii="Arial" w:hAnsi="Arial" w:cs="Arial"/>
          <w:color w:val="000000"/>
          <w:sz w:val="16"/>
          <w:szCs w:val="16"/>
        </w:rPr>
      </w:pPr>
    </w:p>
    <w:p w14:paraId="7A9B0585" w14:textId="4C9224A2" w:rsidR="00E568A1" w:rsidRPr="00E66F8B" w:rsidRDefault="00E568A1" w:rsidP="0037724F">
      <w:pPr>
        <w:autoSpaceDE w:val="0"/>
        <w:autoSpaceDN w:val="0"/>
        <w:adjustRightInd w:val="0"/>
        <w:spacing w:after="0" w:line="240" w:lineRule="auto"/>
        <w:jc w:val="both"/>
        <w:rPr>
          <w:rFonts w:ascii="Arial" w:hAnsi="Arial" w:cs="Arial"/>
          <w:color w:val="000000"/>
          <w:lang w:val="uk-UA"/>
        </w:rPr>
      </w:pPr>
      <w:r w:rsidRPr="007B45D0">
        <w:rPr>
          <w:rFonts w:ascii="Arial" w:hAnsi="Arial" w:cs="Arial"/>
          <w:color w:val="000000"/>
        </w:rPr>
        <w:t xml:space="preserve">Побічні </w:t>
      </w:r>
      <w:r w:rsidR="00715234">
        <w:rPr>
          <w:rFonts w:ascii="Arial" w:hAnsi="Arial" w:cs="Arial"/>
          <w:color w:val="000000"/>
        </w:rPr>
        <w:t>реакції</w:t>
      </w:r>
      <w:r w:rsidRPr="007B45D0">
        <w:rPr>
          <w:rFonts w:ascii="Arial" w:hAnsi="Arial" w:cs="Arial"/>
          <w:color w:val="000000"/>
        </w:rPr>
        <w:t>, принаймні 3-го ступеню, були однаковими в обох групах: 28/102 (27,5) у групі бедаквіліну та 24/105 (22,9) у групі плацебо. Основне занепокоє</w:t>
      </w:r>
      <w:r w:rsidR="00715234">
        <w:rPr>
          <w:rFonts w:ascii="Arial" w:hAnsi="Arial" w:cs="Arial"/>
          <w:color w:val="000000"/>
        </w:rPr>
        <w:t>ння щодо безпеки</w:t>
      </w:r>
      <w:r w:rsidR="00CA13CC">
        <w:rPr>
          <w:rFonts w:ascii="Arial" w:hAnsi="Arial" w:cs="Arial"/>
          <w:color w:val="000000"/>
        </w:rPr>
        <w:t xml:space="preserve"> викликали </w:t>
      </w:r>
      <w:r w:rsidR="00715234">
        <w:rPr>
          <w:rFonts w:ascii="Arial" w:hAnsi="Arial" w:cs="Arial"/>
          <w:color w:val="000000"/>
        </w:rPr>
        <w:t>подовженн</w:t>
      </w:r>
      <w:r w:rsidR="00715234" w:rsidRPr="00E2731D">
        <w:rPr>
          <w:rFonts w:ascii="Arial" w:hAnsi="Arial" w:cs="Arial"/>
          <w:color w:val="000000"/>
        </w:rPr>
        <w:t xml:space="preserve">я </w:t>
      </w:r>
      <w:r w:rsidR="00715234">
        <w:rPr>
          <w:rFonts w:ascii="Arial" w:hAnsi="Arial" w:cs="Arial"/>
          <w:color w:val="000000"/>
        </w:rPr>
        <w:t xml:space="preserve">інтервалу </w:t>
      </w:r>
      <w:r w:rsidRPr="007B45D0">
        <w:rPr>
          <w:rFonts w:ascii="Arial" w:hAnsi="Arial" w:cs="Arial"/>
          <w:color w:val="000000"/>
          <w:lang w:val="en-US"/>
        </w:rPr>
        <w:t>QT</w:t>
      </w:r>
      <w:r w:rsidRPr="007B45D0">
        <w:rPr>
          <w:rFonts w:ascii="Arial" w:hAnsi="Arial" w:cs="Arial"/>
          <w:color w:val="000000"/>
        </w:rPr>
        <w:t xml:space="preserve"> та </w:t>
      </w:r>
      <w:r w:rsidR="00E66F8B">
        <w:rPr>
          <w:rFonts w:ascii="Arial" w:hAnsi="Arial" w:cs="Arial"/>
          <w:color w:val="000000"/>
        </w:rPr>
        <w:t>ПР зі сторони серцево-судинної системи</w:t>
      </w:r>
      <w:r w:rsidRPr="007B45D0">
        <w:rPr>
          <w:rFonts w:ascii="Arial" w:hAnsi="Arial" w:cs="Arial"/>
          <w:color w:val="000000"/>
        </w:rPr>
        <w:t xml:space="preserve">, </w:t>
      </w:r>
      <w:r w:rsidR="00E66F8B">
        <w:rPr>
          <w:rFonts w:ascii="Arial" w:hAnsi="Arial" w:cs="Arial"/>
          <w:color w:val="000000"/>
        </w:rPr>
        <w:t>ПР зі сторони печінки</w:t>
      </w:r>
      <w:r w:rsidRPr="007B45D0">
        <w:rPr>
          <w:rFonts w:ascii="Arial" w:hAnsi="Arial" w:cs="Arial"/>
          <w:color w:val="000000"/>
        </w:rPr>
        <w:t xml:space="preserve"> та випадки смерті.</w:t>
      </w:r>
    </w:p>
    <w:p w14:paraId="282FAC90" w14:textId="77777777" w:rsidR="00E568A1" w:rsidRPr="00CA13CC" w:rsidRDefault="00E568A1" w:rsidP="0037724F">
      <w:pPr>
        <w:autoSpaceDE w:val="0"/>
        <w:autoSpaceDN w:val="0"/>
        <w:adjustRightInd w:val="0"/>
        <w:spacing w:after="0" w:line="240" w:lineRule="auto"/>
        <w:jc w:val="both"/>
        <w:rPr>
          <w:rFonts w:ascii="Arial" w:hAnsi="Arial" w:cs="Arial"/>
          <w:color w:val="000000"/>
          <w:sz w:val="20"/>
          <w:szCs w:val="20"/>
        </w:rPr>
      </w:pPr>
    </w:p>
    <w:p w14:paraId="47FBE3DB" w14:textId="56D4D648" w:rsidR="00E568A1" w:rsidRDefault="00E568A1" w:rsidP="00F47873">
      <w:pPr>
        <w:autoSpaceDE w:val="0"/>
        <w:autoSpaceDN w:val="0"/>
        <w:adjustRightInd w:val="0"/>
        <w:spacing w:after="0" w:line="240" w:lineRule="auto"/>
        <w:jc w:val="center"/>
        <w:rPr>
          <w:rFonts w:ascii="Arial" w:hAnsi="Arial" w:cs="Arial"/>
          <w:b/>
          <w:bCs/>
          <w:color w:val="000000"/>
          <w:sz w:val="24"/>
          <w:szCs w:val="24"/>
          <w:lang w:val="uk-UA"/>
        </w:rPr>
      </w:pPr>
      <w:r>
        <w:rPr>
          <w:rFonts w:ascii="Arial" w:hAnsi="Arial" w:cs="Arial"/>
          <w:b/>
          <w:bCs/>
          <w:color w:val="000000"/>
          <w:sz w:val="24"/>
          <w:szCs w:val="24"/>
          <w:lang w:val="uk-UA"/>
        </w:rPr>
        <w:t xml:space="preserve">Таблиця </w:t>
      </w:r>
      <w:r w:rsidRPr="00413CDA">
        <w:rPr>
          <w:rFonts w:ascii="Arial" w:hAnsi="Arial" w:cs="Arial"/>
          <w:b/>
          <w:bCs/>
          <w:color w:val="000000"/>
          <w:sz w:val="24"/>
          <w:szCs w:val="24"/>
          <w:lang w:val="uk-UA"/>
        </w:rPr>
        <w:t xml:space="preserve">2. </w:t>
      </w:r>
      <w:r w:rsidR="00E66F8B">
        <w:rPr>
          <w:rFonts w:ascii="Arial" w:hAnsi="Arial" w:cs="Arial"/>
          <w:b/>
          <w:bCs/>
          <w:color w:val="000000"/>
          <w:sz w:val="24"/>
          <w:szCs w:val="24"/>
          <w:lang w:val="uk-UA"/>
        </w:rPr>
        <w:t>Підсумок</w:t>
      </w:r>
      <w:r w:rsidRPr="00413CDA">
        <w:rPr>
          <w:rFonts w:ascii="Arial" w:hAnsi="Arial" w:cs="Arial"/>
          <w:b/>
          <w:bCs/>
          <w:color w:val="000000"/>
          <w:sz w:val="24"/>
          <w:szCs w:val="24"/>
          <w:lang w:val="uk-UA"/>
        </w:rPr>
        <w:t xml:space="preserve"> </w:t>
      </w:r>
      <w:r w:rsidR="00E66F8B">
        <w:rPr>
          <w:rFonts w:ascii="Arial" w:hAnsi="Arial" w:cs="Arial"/>
          <w:b/>
          <w:bCs/>
          <w:color w:val="000000"/>
          <w:sz w:val="24"/>
          <w:szCs w:val="24"/>
          <w:lang w:val="uk-UA"/>
        </w:rPr>
        <w:t>побічних реакцій вартих уваги</w:t>
      </w:r>
    </w:p>
    <w:p w14:paraId="256136B5" w14:textId="77777777" w:rsidR="00E568A1" w:rsidRPr="00CA13CC" w:rsidRDefault="00E568A1" w:rsidP="0037724F">
      <w:pPr>
        <w:autoSpaceDE w:val="0"/>
        <w:autoSpaceDN w:val="0"/>
        <w:adjustRightInd w:val="0"/>
        <w:spacing w:after="0" w:line="240" w:lineRule="auto"/>
        <w:jc w:val="both"/>
        <w:rPr>
          <w:rFonts w:ascii="Arial" w:hAnsi="Arial" w:cs="Arial"/>
          <w:b/>
          <w:bCs/>
          <w:color w:val="000000"/>
          <w:sz w:val="12"/>
          <w:szCs w:val="12"/>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160"/>
      </w:tblGrid>
      <w:tr w:rsidR="00E568A1" w:rsidRPr="00FE47DE" w14:paraId="3037AE11" w14:textId="77777777" w:rsidTr="00E221F6">
        <w:tc>
          <w:tcPr>
            <w:tcW w:w="5148" w:type="dxa"/>
            <w:tcBorders>
              <w:top w:val="single" w:sz="18" w:space="0" w:color="740000"/>
              <w:left w:val="nil"/>
              <w:bottom w:val="nil"/>
              <w:right w:val="nil"/>
            </w:tcBorders>
            <w:shd w:val="clear" w:color="auto" w:fill="920000"/>
          </w:tcPr>
          <w:p w14:paraId="1D7C71AF"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p>
        </w:tc>
        <w:tc>
          <w:tcPr>
            <w:tcW w:w="2160" w:type="dxa"/>
            <w:tcBorders>
              <w:top w:val="single" w:sz="18" w:space="0" w:color="740000"/>
              <w:left w:val="nil"/>
              <w:bottom w:val="nil"/>
              <w:right w:val="nil"/>
            </w:tcBorders>
            <w:shd w:val="clear" w:color="auto" w:fill="740000"/>
          </w:tcPr>
          <w:p w14:paraId="4A21F554" w14:textId="69E58F86" w:rsidR="00E568A1" w:rsidRPr="00E66F8B" w:rsidRDefault="00E66F8B" w:rsidP="00E221F6">
            <w:pPr>
              <w:autoSpaceDE w:val="0"/>
              <w:autoSpaceDN w:val="0"/>
              <w:adjustRightInd w:val="0"/>
              <w:spacing w:after="0" w:line="240" w:lineRule="auto"/>
              <w:jc w:val="center"/>
              <w:rPr>
                <w:rFonts w:ascii="Arial" w:hAnsi="Arial" w:cs="Arial"/>
                <w:b/>
                <w:bCs/>
                <w:color w:val="FFFFFF"/>
                <w:sz w:val="21"/>
                <w:szCs w:val="21"/>
                <w:lang w:val="en-US"/>
              </w:rPr>
            </w:pPr>
            <w:r>
              <w:rPr>
                <w:rFonts w:ascii="Arial" w:hAnsi="Arial" w:cs="Arial"/>
                <w:b/>
                <w:bCs/>
                <w:color w:val="FFFFFF"/>
                <w:sz w:val="21"/>
                <w:szCs w:val="21"/>
                <w:lang w:val="uk-UA"/>
              </w:rPr>
              <w:t>Бедаквілін</w:t>
            </w:r>
            <w:r w:rsidR="00E568A1" w:rsidRPr="00E221F6">
              <w:rPr>
                <w:rFonts w:ascii="Arial" w:hAnsi="Arial" w:cs="Arial"/>
                <w:b/>
                <w:bCs/>
                <w:color w:val="FFFFFF"/>
                <w:sz w:val="21"/>
                <w:szCs w:val="21"/>
                <w:lang w:val="uk-UA"/>
              </w:rPr>
              <w:t>/</w:t>
            </w:r>
            <w:r>
              <w:rPr>
                <w:rFonts w:ascii="Arial" w:hAnsi="Arial" w:cs="Arial"/>
                <w:b/>
                <w:bCs/>
                <w:color w:val="FFFFFF"/>
                <w:sz w:val="21"/>
                <w:szCs w:val="21"/>
                <w:lang w:val="uk-UA"/>
              </w:rPr>
              <w:t>BR</w:t>
            </w:r>
          </w:p>
          <w:p w14:paraId="13CD7E8C"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en-US"/>
              </w:rPr>
              <w:t>N = 79 (%)</w:t>
            </w:r>
          </w:p>
        </w:tc>
        <w:tc>
          <w:tcPr>
            <w:tcW w:w="2160" w:type="dxa"/>
            <w:tcBorders>
              <w:top w:val="single" w:sz="18" w:space="0" w:color="740000"/>
              <w:left w:val="nil"/>
              <w:bottom w:val="nil"/>
              <w:right w:val="nil"/>
            </w:tcBorders>
            <w:shd w:val="clear" w:color="auto" w:fill="740000"/>
          </w:tcPr>
          <w:p w14:paraId="4D7C6AF8" w14:textId="6C2CD6A5" w:rsidR="00E568A1" w:rsidRPr="00E221F6" w:rsidRDefault="00E66F8B" w:rsidP="00E221F6">
            <w:pPr>
              <w:autoSpaceDE w:val="0"/>
              <w:autoSpaceDN w:val="0"/>
              <w:adjustRightInd w:val="0"/>
              <w:spacing w:after="0" w:line="240" w:lineRule="auto"/>
              <w:jc w:val="center"/>
              <w:rPr>
                <w:rFonts w:ascii="Arial" w:hAnsi="Arial" w:cs="Arial"/>
                <w:b/>
                <w:bCs/>
                <w:color w:val="FFFFFF"/>
                <w:sz w:val="21"/>
                <w:szCs w:val="21"/>
                <w:lang w:val="uk-UA"/>
              </w:rPr>
            </w:pPr>
            <w:r>
              <w:rPr>
                <w:rFonts w:ascii="Arial" w:hAnsi="Arial" w:cs="Arial"/>
                <w:b/>
                <w:bCs/>
                <w:color w:val="FFFFFF"/>
                <w:sz w:val="21"/>
                <w:szCs w:val="21"/>
                <w:lang w:val="uk-UA"/>
              </w:rPr>
              <w:t>Плацебо/BR</w:t>
            </w:r>
          </w:p>
          <w:p w14:paraId="39208915"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en-US"/>
              </w:rPr>
              <w:t>N = 81 (%)</w:t>
            </w:r>
          </w:p>
        </w:tc>
      </w:tr>
      <w:tr w:rsidR="00E568A1" w:rsidRPr="00FE47DE" w14:paraId="36BB05B6" w14:textId="77777777" w:rsidTr="00E221F6">
        <w:tc>
          <w:tcPr>
            <w:tcW w:w="5148" w:type="dxa"/>
            <w:tcBorders>
              <w:top w:val="nil"/>
              <w:left w:val="nil"/>
              <w:bottom w:val="nil"/>
              <w:right w:val="nil"/>
            </w:tcBorders>
            <w:shd w:val="clear" w:color="auto" w:fill="F3A3A3"/>
          </w:tcPr>
          <w:p w14:paraId="631D87EF" w14:textId="77777777" w:rsidR="00E568A1" w:rsidRPr="00E221F6" w:rsidRDefault="00E568A1" w:rsidP="00E221F6">
            <w:pPr>
              <w:autoSpaceDE w:val="0"/>
              <w:autoSpaceDN w:val="0"/>
              <w:adjustRightInd w:val="0"/>
              <w:spacing w:after="0" w:line="240" w:lineRule="auto"/>
              <w:jc w:val="both"/>
              <w:rPr>
                <w:rFonts w:ascii="Arial" w:hAnsi="Arial" w:cs="Arial"/>
                <w:bCs/>
                <w:color w:val="000000"/>
                <w:sz w:val="10"/>
                <w:szCs w:val="10"/>
                <w:lang w:val="uk-UA"/>
              </w:rPr>
            </w:pPr>
          </w:p>
          <w:p w14:paraId="7EF4B9C8" w14:textId="77777777" w:rsidR="00E568A1" w:rsidRPr="00E221F6" w:rsidRDefault="00E568A1" w:rsidP="00E221F6">
            <w:pPr>
              <w:autoSpaceDE w:val="0"/>
              <w:autoSpaceDN w:val="0"/>
              <w:adjustRightInd w:val="0"/>
              <w:spacing w:after="0" w:line="240" w:lineRule="auto"/>
              <w:jc w:val="both"/>
              <w:rPr>
                <w:rFonts w:ascii="Arial" w:hAnsi="Arial" w:cs="Arial"/>
                <w:bCs/>
                <w:color w:val="000000"/>
                <w:sz w:val="20"/>
                <w:szCs w:val="20"/>
                <w:lang w:val="uk-UA"/>
              </w:rPr>
            </w:pPr>
            <w:r w:rsidRPr="00E221F6">
              <w:rPr>
                <w:rFonts w:ascii="Arial" w:hAnsi="Arial" w:cs="Arial"/>
                <w:bCs/>
                <w:color w:val="000000"/>
                <w:sz w:val="20"/>
                <w:szCs w:val="20"/>
                <w:lang w:val="uk-UA"/>
              </w:rPr>
              <w:t>Скелетно-м'язова та сполучна тканина</w:t>
            </w:r>
          </w:p>
        </w:tc>
        <w:tc>
          <w:tcPr>
            <w:tcW w:w="2160" w:type="dxa"/>
            <w:tcBorders>
              <w:top w:val="nil"/>
              <w:left w:val="nil"/>
              <w:bottom w:val="nil"/>
              <w:right w:val="nil"/>
            </w:tcBorders>
            <w:shd w:val="clear" w:color="auto" w:fill="F3A3A3"/>
          </w:tcPr>
          <w:p w14:paraId="0D882552"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10"/>
                <w:szCs w:val="10"/>
                <w:lang w:val="uk-UA"/>
              </w:rPr>
            </w:pPr>
          </w:p>
          <w:p w14:paraId="3B0C716A"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20"/>
                <w:szCs w:val="20"/>
                <w:lang w:val="uk-UA"/>
              </w:rPr>
            </w:pPr>
            <w:r w:rsidRPr="00E221F6">
              <w:rPr>
                <w:rFonts w:ascii="Arial" w:hAnsi="Arial" w:cs="Arial"/>
                <w:color w:val="000000"/>
                <w:sz w:val="20"/>
                <w:szCs w:val="20"/>
                <w:lang w:val="en-US"/>
              </w:rPr>
              <w:t xml:space="preserve">39 </w:t>
            </w:r>
            <w:r w:rsidRPr="00E221F6">
              <w:rPr>
                <w:rFonts w:ascii="Arial" w:hAnsi="Arial" w:cs="Arial"/>
                <w:i/>
                <w:iCs/>
                <w:color w:val="000000"/>
                <w:sz w:val="20"/>
                <w:szCs w:val="20"/>
                <w:lang w:val="en-US"/>
              </w:rPr>
              <w:t>(49.4)</w:t>
            </w:r>
          </w:p>
        </w:tc>
        <w:tc>
          <w:tcPr>
            <w:tcW w:w="2160" w:type="dxa"/>
            <w:tcBorders>
              <w:top w:val="nil"/>
              <w:left w:val="nil"/>
              <w:bottom w:val="nil"/>
              <w:right w:val="nil"/>
            </w:tcBorders>
            <w:shd w:val="clear" w:color="auto" w:fill="F3A3A3"/>
          </w:tcPr>
          <w:p w14:paraId="6767B2F1"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10"/>
                <w:szCs w:val="10"/>
                <w:lang w:val="uk-UA"/>
              </w:rPr>
            </w:pPr>
          </w:p>
          <w:p w14:paraId="1048B3AD"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en-US"/>
              </w:rPr>
            </w:pPr>
            <w:r w:rsidRPr="00E221F6">
              <w:rPr>
                <w:rFonts w:ascii="Arial" w:hAnsi="Arial" w:cs="Arial"/>
                <w:color w:val="000000"/>
                <w:sz w:val="20"/>
                <w:szCs w:val="20"/>
                <w:lang w:val="en-US"/>
              </w:rPr>
              <w:t xml:space="preserve">40 </w:t>
            </w:r>
            <w:r w:rsidRPr="00E221F6">
              <w:rPr>
                <w:rFonts w:ascii="Arial" w:hAnsi="Arial" w:cs="Arial"/>
                <w:i/>
                <w:iCs/>
                <w:color w:val="000000"/>
                <w:sz w:val="20"/>
                <w:szCs w:val="20"/>
                <w:lang w:val="en-US"/>
              </w:rPr>
              <w:t>(49.4)</w:t>
            </w:r>
          </w:p>
          <w:p w14:paraId="5021AB72"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10"/>
                <w:szCs w:val="10"/>
                <w:lang w:val="uk-UA"/>
              </w:rPr>
            </w:pPr>
          </w:p>
        </w:tc>
      </w:tr>
      <w:tr w:rsidR="00E568A1" w:rsidRPr="00FE47DE" w14:paraId="632A8ED7" w14:textId="77777777" w:rsidTr="00E221F6">
        <w:tc>
          <w:tcPr>
            <w:tcW w:w="5148" w:type="dxa"/>
            <w:tcBorders>
              <w:top w:val="nil"/>
              <w:left w:val="nil"/>
              <w:bottom w:val="nil"/>
              <w:right w:val="nil"/>
            </w:tcBorders>
            <w:shd w:val="clear" w:color="auto" w:fill="FBDDDD"/>
          </w:tcPr>
          <w:p w14:paraId="3FD6F407" w14:textId="77777777" w:rsidR="00E568A1" w:rsidRPr="00CA13CC" w:rsidRDefault="00E568A1" w:rsidP="00E221F6">
            <w:pPr>
              <w:autoSpaceDE w:val="0"/>
              <w:autoSpaceDN w:val="0"/>
              <w:adjustRightInd w:val="0"/>
              <w:spacing w:after="0" w:line="240" w:lineRule="auto"/>
              <w:jc w:val="both"/>
              <w:rPr>
                <w:rFonts w:ascii="Arial" w:hAnsi="Arial" w:cs="Arial"/>
                <w:bCs/>
                <w:i/>
                <w:color w:val="000000"/>
                <w:sz w:val="14"/>
                <w:szCs w:val="14"/>
                <w:lang w:val="uk-UA"/>
              </w:rPr>
            </w:pPr>
          </w:p>
          <w:p w14:paraId="345C9360" w14:textId="72014E5C" w:rsidR="00E568A1" w:rsidRPr="00E221F6" w:rsidRDefault="00E568A1" w:rsidP="00E221F6">
            <w:pPr>
              <w:autoSpaceDE w:val="0"/>
              <w:autoSpaceDN w:val="0"/>
              <w:adjustRightInd w:val="0"/>
              <w:spacing w:after="0" w:line="240" w:lineRule="auto"/>
              <w:jc w:val="both"/>
              <w:rPr>
                <w:rFonts w:ascii="Arial" w:hAnsi="Arial" w:cs="Arial"/>
                <w:i/>
                <w:iCs/>
                <w:color w:val="000000"/>
                <w:sz w:val="20"/>
                <w:szCs w:val="20"/>
                <w:lang w:val="uk-UA"/>
              </w:rPr>
            </w:pPr>
            <w:r w:rsidRPr="00E221F6">
              <w:rPr>
                <w:rFonts w:ascii="Arial" w:hAnsi="Arial" w:cs="Arial"/>
                <w:bCs/>
                <w:i/>
                <w:color w:val="000000"/>
                <w:sz w:val="20"/>
                <w:szCs w:val="20"/>
                <w:lang w:val="uk-UA"/>
              </w:rPr>
              <w:t>Б</w:t>
            </w:r>
            <w:r w:rsidRPr="00A81BDF">
              <w:rPr>
                <w:rFonts w:ascii="Arial" w:hAnsi="Arial" w:cs="Arial"/>
                <w:i/>
                <w:iCs/>
                <w:color w:val="000000"/>
                <w:sz w:val="20"/>
                <w:szCs w:val="20"/>
              </w:rPr>
              <w:t xml:space="preserve">іль </w:t>
            </w:r>
            <w:r w:rsidRPr="00E221F6">
              <w:rPr>
                <w:rFonts w:ascii="Arial" w:hAnsi="Arial" w:cs="Arial"/>
                <w:i/>
                <w:iCs/>
                <w:color w:val="000000"/>
                <w:sz w:val="20"/>
                <w:szCs w:val="20"/>
                <w:lang w:val="uk-UA"/>
              </w:rPr>
              <w:t>у</w:t>
            </w:r>
            <w:r w:rsidRPr="00A81BDF">
              <w:rPr>
                <w:rFonts w:ascii="Arial" w:hAnsi="Arial" w:cs="Arial"/>
                <w:i/>
                <w:iCs/>
                <w:color w:val="000000"/>
                <w:sz w:val="20"/>
                <w:szCs w:val="20"/>
              </w:rPr>
              <w:t xml:space="preserve"> м'язах</w:t>
            </w:r>
            <w:r w:rsidR="0049408A">
              <w:rPr>
                <w:rFonts w:ascii="Arial" w:hAnsi="Arial" w:cs="Arial"/>
                <w:i/>
                <w:iCs/>
                <w:color w:val="000000"/>
                <w:sz w:val="20"/>
                <w:szCs w:val="20"/>
              </w:rPr>
              <w:t xml:space="preserve"> (міалгія)</w:t>
            </w:r>
          </w:p>
          <w:p w14:paraId="5E8E93C1" w14:textId="77777777" w:rsidR="00E568A1" w:rsidRPr="00CA13CC" w:rsidRDefault="00E568A1" w:rsidP="00E221F6">
            <w:pPr>
              <w:autoSpaceDE w:val="0"/>
              <w:autoSpaceDN w:val="0"/>
              <w:adjustRightInd w:val="0"/>
              <w:spacing w:after="0" w:line="240" w:lineRule="auto"/>
              <w:jc w:val="both"/>
              <w:rPr>
                <w:rFonts w:ascii="Arial" w:hAnsi="Arial" w:cs="Arial"/>
                <w:i/>
                <w:iCs/>
                <w:color w:val="000000"/>
                <w:sz w:val="14"/>
                <w:szCs w:val="14"/>
                <w:lang w:val="uk-UA"/>
              </w:rPr>
            </w:pPr>
          </w:p>
          <w:p w14:paraId="1EC730B3"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Скелетно-м'язові болі</w:t>
            </w:r>
          </w:p>
          <w:p w14:paraId="5AA417D8" w14:textId="77777777" w:rsidR="00E568A1" w:rsidRPr="00CA13CC" w:rsidRDefault="00E568A1" w:rsidP="00E221F6">
            <w:pPr>
              <w:autoSpaceDE w:val="0"/>
              <w:autoSpaceDN w:val="0"/>
              <w:adjustRightInd w:val="0"/>
              <w:spacing w:after="0" w:line="240" w:lineRule="auto"/>
              <w:jc w:val="both"/>
              <w:rPr>
                <w:rFonts w:ascii="Arial" w:hAnsi="Arial" w:cs="Arial"/>
                <w:bCs/>
                <w:i/>
                <w:color w:val="000000"/>
                <w:sz w:val="14"/>
                <w:szCs w:val="14"/>
                <w:lang w:val="uk-UA"/>
              </w:rPr>
            </w:pPr>
          </w:p>
          <w:p w14:paraId="6433AAFC"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Гострий некроз скелетних м'язів/міопатія</w:t>
            </w:r>
          </w:p>
          <w:p w14:paraId="2D336681" w14:textId="77777777" w:rsidR="00E568A1" w:rsidRPr="00CA13CC" w:rsidRDefault="00E568A1" w:rsidP="00E221F6">
            <w:pPr>
              <w:autoSpaceDE w:val="0"/>
              <w:autoSpaceDN w:val="0"/>
              <w:adjustRightInd w:val="0"/>
              <w:spacing w:after="0" w:line="240" w:lineRule="auto"/>
              <w:jc w:val="both"/>
              <w:rPr>
                <w:rFonts w:ascii="Arial" w:hAnsi="Arial" w:cs="Arial"/>
                <w:bCs/>
                <w:i/>
                <w:color w:val="000000"/>
                <w:sz w:val="14"/>
                <w:szCs w:val="14"/>
                <w:lang w:val="uk-UA"/>
              </w:rPr>
            </w:pPr>
          </w:p>
        </w:tc>
        <w:tc>
          <w:tcPr>
            <w:tcW w:w="2160" w:type="dxa"/>
            <w:tcBorders>
              <w:top w:val="nil"/>
              <w:left w:val="nil"/>
              <w:bottom w:val="nil"/>
              <w:right w:val="nil"/>
            </w:tcBorders>
            <w:shd w:val="clear" w:color="auto" w:fill="FBDDDD"/>
          </w:tcPr>
          <w:p w14:paraId="27F03E5A" w14:textId="77777777" w:rsidR="00E568A1" w:rsidRPr="00CA13CC" w:rsidRDefault="00E568A1" w:rsidP="00E221F6">
            <w:pPr>
              <w:autoSpaceDE w:val="0"/>
              <w:autoSpaceDN w:val="0"/>
              <w:adjustRightInd w:val="0"/>
              <w:spacing w:after="0" w:line="240" w:lineRule="auto"/>
              <w:jc w:val="center"/>
              <w:rPr>
                <w:rFonts w:ascii="Arial" w:hAnsi="Arial" w:cs="Arial"/>
                <w:bCs/>
                <w:i/>
                <w:color w:val="000000"/>
                <w:sz w:val="14"/>
                <w:szCs w:val="14"/>
                <w:lang w:val="uk-UA"/>
              </w:rPr>
            </w:pPr>
          </w:p>
          <w:p w14:paraId="4694D438"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r w:rsidRPr="00E221F6">
              <w:rPr>
                <w:rFonts w:ascii="Arial" w:hAnsi="Arial" w:cs="Arial"/>
                <w:i/>
                <w:iCs/>
                <w:color w:val="000000"/>
                <w:sz w:val="20"/>
                <w:szCs w:val="20"/>
                <w:lang w:val="en-US"/>
              </w:rPr>
              <w:t>6 (7.6)</w:t>
            </w:r>
          </w:p>
          <w:p w14:paraId="569E33CC" w14:textId="77777777" w:rsidR="00E568A1" w:rsidRPr="00CA13CC" w:rsidRDefault="00E568A1" w:rsidP="00E221F6">
            <w:pPr>
              <w:autoSpaceDE w:val="0"/>
              <w:autoSpaceDN w:val="0"/>
              <w:adjustRightInd w:val="0"/>
              <w:spacing w:after="0" w:line="240" w:lineRule="auto"/>
              <w:jc w:val="center"/>
              <w:rPr>
                <w:rFonts w:ascii="Arial" w:hAnsi="Arial" w:cs="Arial"/>
                <w:i/>
                <w:iCs/>
                <w:color w:val="000000"/>
                <w:sz w:val="14"/>
                <w:szCs w:val="14"/>
                <w:lang w:val="uk-UA"/>
              </w:rPr>
            </w:pPr>
          </w:p>
          <w:p w14:paraId="0E35EF94"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r w:rsidRPr="00E221F6">
              <w:rPr>
                <w:rFonts w:ascii="Arial" w:hAnsi="Arial" w:cs="Arial"/>
                <w:i/>
                <w:iCs/>
                <w:color w:val="000000"/>
                <w:sz w:val="20"/>
                <w:szCs w:val="20"/>
                <w:lang w:val="en-US"/>
              </w:rPr>
              <w:t>4 (5.1)</w:t>
            </w:r>
          </w:p>
          <w:p w14:paraId="4634CBC5" w14:textId="77777777" w:rsidR="00E568A1" w:rsidRPr="00CA13CC" w:rsidRDefault="00E568A1" w:rsidP="00E221F6">
            <w:pPr>
              <w:autoSpaceDE w:val="0"/>
              <w:autoSpaceDN w:val="0"/>
              <w:adjustRightInd w:val="0"/>
              <w:spacing w:after="0" w:line="240" w:lineRule="auto"/>
              <w:jc w:val="center"/>
              <w:rPr>
                <w:rFonts w:ascii="Arial" w:hAnsi="Arial" w:cs="Arial"/>
                <w:i/>
                <w:iCs/>
                <w:color w:val="000000"/>
                <w:sz w:val="14"/>
                <w:szCs w:val="14"/>
                <w:lang w:val="uk-UA"/>
              </w:rPr>
            </w:pPr>
          </w:p>
          <w:p w14:paraId="727A1796" w14:textId="77777777" w:rsidR="00E568A1" w:rsidRPr="00E221F6" w:rsidRDefault="00E568A1" w:rsidP="00E221F6">
            <w:pPr>
              <w:autoSpaceDE w:val="0"/>
              <w:autoSpaceDN w:val="0"/>
              <w:adjustRightInd w:val="0"/>
              <w:spacing w:after="0" w:line="240" w:lineRule="auto"/>
              <w:jc w:val="center"/>
              <w:rPr>
                <w:rFonts w:ascii="Arial" w:hAnsi="Arial" w:cs="Arial"/>
                <w:bCs/>
                <w:i/>
                <w:color w:val="000000"/>
                <w:sz w:val="20"/>
                <w:szCs w:val="20"/>
                <w:lang w:val="uk-UA"/>
              </w:rPr>
            </w:pPr>
            <w:r w:rsidRPr="00E221F6">
              <w:rPr>
                <w:rFonts w:ascii="Arial" w:hAnsi="Arial" w:cs="Arial"/>
                <w:i/>
                <w:iCs/>
                <w:color w:val="000000"/>
                <w:sz w:val="20"/>
                <w:szCs w:val="20"/>
                <w:lang w:val="uk-UA"/>
              </w:rPr>
              <w:t>0</w:t>
            </w:r>
          </w:p>
        </w:tc>
        <w:tc>
          <w:tcPr>
            <w:tcW w:w="2160" w:type="dxa"/>
            <w:tcBorders>
              <w:top w:val="nil"/>
              <w:left w:val="nil"/>
              <w:bottom w:val="nil"/>
              <w:right w:val="nil"/>
            </w:tcBorders>
            <w:shd w:val="clear" w:color="auto" w:fill="FBDDDD"/>
          </w:tcPr>
          <w:p w14:paraId="50E7B939" w14:textId="77777777" w:rsidR="00E568A1" w:rsidRPr="00CA13CC" w:rsidRDefault="00E568A1" w:rsidP="00E221F6">
            <w:pPr>
              <w:autoSpaceDE w:val="0"/>
              <w:autoSpaceDN w:val="0"/>
              <w:adjustRightInd w:val="0"/>
              <w:spacing w:after="0" w:line="240" w:lineRule="auto"/>
              <w:jc w:val="center"/>
              <w:rPr>
                <w:rFonts w:ascii="Arial" w:hAnsi="Arial" w:cs="Arial"/>
                <w:bCs/>
                <w:i/>
                <w:color w:val="000000"/>
                <w:sz w:val="14"/>
                <w:szCs w:val="14"/>
                <w:lang w:val="uk-UA"/>
              </w:rPr>
            </w:pPr>
          </w:p>
          <w:p w14:paraId="64B9908E" w14:textId="77777777" w:rsidR="00E568A1" w:rsidRPr="00E221F6" w:rsidRDefault="00E568A1" w:rsidP="00E221F6">
            <w:pPr>
              <w:autoSpaceDE w:val="0"/>
              <w:autoSpaceDN w:val="0"/>
              <w:adjustRightInd w:val="0"/>
              <w:spacing w:after="0" w:line="240" w:lineRule="auto"/>
              <w:jc w:val="center"/>
              <w:rPr>
                <w:rFonts w:ascii="Arial" w:hAnsi="Arial" w:cs="Arial"/>
                <w:b/>
                <w:bCs/>
                <w:i/>
                <w:color w:val="FFFFFF"/>
                <w:sz w:val="20"/>
                <w:szCs w:val="20"/>
                <w:lang w:val="pt-BR"/>
              </w:rPr>
            </w:pPr>
            <w:r w:rsidRPr="00E221F6">
              <w:rPr>
                <w:rFonts w:ascii="Arial" w:hAnsi="Arial" w:cs="Arial"/>
                <w:i/>
                <w:iCs/>
                <w:color w:val="000000"/>
                <w:sz w:val="20"/>
                <w:szCs w:val="20"/>
                <w:lang w:val="en-US"/>
              </w:rPr>
              <w:t>7 (8.6)</w:t>
            </w:r>
          </w:p>
          <w:p w14:paraId="3DEB710D" w14:textId="77777777" w:rsidR="00E568A1" w:rsidRPr="00CA13CC" w:rsidRDefault="00E568A1" w:rsidP="00E221F6">
            <w:pPr>
              <w:autoSpaceDE w:val="0"/>
              <w:autoSpaceDN w:val="0"/>
              <w:adjustRightInd w:val="0"/>
              <w:spacing w:after="0" w:line="240" w:lineRule="auto"/>
              <w:jc w:val="center"/>
              <w:rPr>
                <w:rFonts w:ascii="Arial" w:hAnsi="Arial" w:cs="Arial"/>
                <w:bCs/>
                <w:i/>
                <w:color w:val="000000"/>
                <w:sz w:val="14"/>
                <w:szCs w:val="14"/>
                <w:lang w:val="uk-UA"/>
              </w:rPr>
            </w:pPr>
          </w:p>
          <w:p w14:paraId="0C5CD4EB"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en-US"/>
              </w:rPr>
            </w:pPr>
            <w:r w:rsidRPr="00E221F6">
              <w:rPr>
                <w:rFonts w:ascii="Arial" w:hAnsi="Arial" w:cs="Arial"/>
                <w:i/>
                <w:iCs/>
                <w:color w:val="000000"/>
                <w:sz w:val="20"/>
                <w:szCs w:val="20"/>
                <w:lang w:val="en-US"/>
              </w:rPr>
              <w:t>4 (4.9)</w:t>
            </w:r>
          </w:p>
          <w:p w14:paraId="60610300" w14:textId="77777777" w:rsidR="00E568A1" w:rsidRPr="00CA13CC" w:rsidRDefault="00E568A1" w:rsidP="00E221F6">
            <w:pPr>
              <w:autoSpaceDE w:val="0"/>
              <w:autoSpaceDN w:val="0"/>
              <w:adjustRightInd w:val="0"/>
              <w:spacing w:after="0" w:line="240" w:lineRule="auto"/>
              <w:jc w:val="center"/>
              <w:rPr>
                <w:rFonts w:ascii="Arial" w:hAnsi="Arial" w:cs="Arial"/>
                <w:bCs/>
                <w:i/>
                <w:color w:val="000000"/>
                <w:sz w:val="14"/>
                <w:szCs w:val="14"/>
                <w:lang w:val="uk-UA"/>
              </w:rPr>
            </w:pPr>
          </w:p>
          <w:p w14:paraId="04BD09B8" w14:textId="77777777" w:rsidR="00E568A1" w:rsidRPr="00E221F6" w:rsidRDefault="00E568A1" w:rsidP="00E221F6">
            <w:pPr>
              <w:autoSpaceDE w:val="0"/>
              <w:autoSpaceDN w:val="0"/>
              <w:adjustRightInd w:val="0"/>
              <w:spacing w:after="0" w:line="240" w:lineRule="auto"/>
              <w:jc w:val="center"/>
              <w:rPr>
                <w:rFonts w:ascii="Arial" w:hAnsi="Arial" w:cs="Arial"/>
                <w:bCs/>
                <w:i/>
                <w:color w:val="000000"/>
                <w:sz w:val="20"/>
                <w:szCs w:val="20"/>
                <w:lang w:val="uk-UA"/>
              </w:rPr>
            </w:pPr>
            <w:r w:rsidRPr="00E221F6">
              <w:rPr>
                <w:rFonts w:ascii="Arial" w:hAnsi="Arial" w:cs="Arial"/>
                <w:bCs/>
                <w:i/>
                <w:color w:val="000000"/>
                <w:sz w:val="20"/>
                <w:szCs w:val="20"/>
                <w:lang w:val="uk-UA"/>
              </w:rPr>
              <w:t>0</w:t>
            </w:r>
          </w:p>
        </w:tc>
      </w:tr>
      <w:tr w:rsidR="00E568A1" w:rsidRPr="00FE47DE" w14:paraId="2DFD9610" w14:textId="77777777" w:rsidTr="00E221F6">
        <w:tc>
          <w:tcPr>
            <w:tcW w:w="5148" w:type="dxa"/>
            <w:tcBorders>
              <w:top w:val="nil"/>
              <w:left w:val="nil"/>
              <w:bottom w:val="nil"/>
              <w:right w:val="nil"/>
            </w:tcBorders>
            <w:shd w:val="clear" w:color="auto" w:fill="F3A3A3"/>
          </w:tcPr>
          <w:p w14:paraId="72B6B461" w14:textId="77777777" w:rsidR="00E568A1" w:rsidRPr="00CA13CC" w:rsidRDefault="00E568A1" w:rsidP="00E221F6">
            <w:pPr>
              <w:autoSpaceDE w:val="0"/>
              <w:autoSpaceDN w:val="0"/>
              <w:adjustRightInd w:val="0"/>
              <w:spacing w:after="0" w:line="240" w:lineRule="auto"/>
              <w:jc w:val="both"/>
              <w:rPr>
                <w:rFonts w:ascii="Arial" w:hAnsi="Arial" w:cs="Arial"/>
                <w:bCs/>
                <w:color w:val="000000"/>
                <w:sz w:val="14"/>
                <w:szCs w:val="14"/>
                <w:lang w:val="uk-UA"/>
              </w:rPr>
            </w:pPr>
          </w:p>
          <w:p w14:paraId="6632EB1E" w14:textId="77777777" w:rsidR="00E568A1" w:rsidRPr="00E221F6" w:rsidRDefault="00E568A1" w:rsidP="00E221F6">
            <w:pPr>
              <w:autoSpaceDE w:val="0"/>
              <w:autoSpaceDN w:val="0"/>
              <w:adjustRightInd w:val="0"/>
              <w:spacing w:after="0" w:line="240" w:lineRule="auto"/>
              <w:jc w:val="both"/>
              <w:rPr>
                <w:rFonts w:ascii="Arial" w:hAnsi="Arial" w:cs="Arial"/>
                <w:bCs/>
                <w:color w:val="000000"/>
                <w:sz w:val="20"/>
                <w:szCs w:val="20"/>
                <w:lang w:val="uk-UA"/>
              </w:rPr>
            </w:pPr>
            <w:r w:rsidRPr="00E221F6">
              <w:rPr>
                <w:rFonts w:ascii="Arial" w:hAnsi="Arial" w:cs="Arial"/>
                <w:bCs/>
                <w:color w:val="000000"/>
                <w:sz w:val="20"/>
                <w:szCs w:val="20"/>
                <w:lang w:val="uk-UA"/>
              </w:rPr>
              <w:t>Шлунково-кишкові розлади</w:t>
            </w:r>
          </w:p>
          <w:p w14:paraId="4A72BDBB" w14:textId="77777777" w:rsidR="00E568A1" w:rsidRPr="00CA13CC" w:rsidRDefault="00E568A1" w:rsidP="00E221F6">
            <w:pPr>
              <w:autoSpaceDE w:val="0"/>
              <w:autoSpaceDN w:val="0"/>
              <w:adjustRightInd w:val="0"/>
              <w:spacing w:after="0" w:line="240" w:lineRule="auto"/>
              <w:jc w:val="both"/>
              <w:rPr>
                <w:rFonts w:ascii="Arial" w:hAnsi="Arial" w:cs="Arial"/>
                <w:bCs/>
                <w:color w:val="000000"/>
                <w:sz w:val="14"/>
                <w:szCs w:val="14"/>
                <w:lang w:val="uk-UA"/>
              </w:rPr>
            </w:pPr>
          </w:p>
        </w:tc>
        <w:tc>
          <w:tcPr>
            <w:tcW w:w="2160" w:type="dxa"/>
            <w:tcBorders>
              <w:top w:val="nil"/>
              <w:left w:val="nil"/>
              <w:bottom w:val="nil"/>
              <w:right w:val="nil"/>
            </w:tcBorders>
            <w:shd w:val="clear" w:color="auto" w:fill="F3A3A3"/>
          </w:tcPr>
          <w:p w14:paraId="2EE594FD" w14:textId="77777777" w:rsidR="00E568A1" w:rsidRPr="00CA13CC" w:rsidRDefault="00E568A1" w:rsidP="00E221F6">
            <w:pPr>
              <w:autoSpaceDE w:val="0"/>
              <w:autoSpaceDN w:val="0"/>
              <w:adjustRightInd w:val="0"/>
              <w:spacing w:after="0" w:line="240" w:lineRule="auto"/>
              <w:jc w:val="center"/>
              <w:rPr>
                <w:rFonts w:ascii="Arial" w:hAnsi="Arial" w:cs="Arial"/>
                <w:color w:val="000000"/>
                <w:sz w:val="14"/>
                <w:szCs w:val="14"/>
                <w:lang w:val="uk-UA"/>
              </w:rPr>
            </w:pPr>
          </w:p>
          <w:p w14:paraId="38917086"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20"/>
                <w:szCs w:val="20"/>
                <w:lang w:val="en-US"/>
              </w:rPr>
            </w:pPr>
            <w:r w:rsidRPr="00E221F6">
              <w:rPr>
                <w:rFonts w:ascii="Arial" w:hAnsi="Arial" w:cs="Arial"/>
                <w:color w:val="000000"/>
                <w:sz w:val="20"/>
                <w:szCs w:val="20"/>
                <w:lang w:val="en-US"/>
              </w:rPr>
              <w:t>53 (67.1)</w:t>
            </w:r>
          </w:p>
          <w:p w14:paraId="3E968A83" w14:textId="77777777" w:rsidR="00E568A1" w:rsidRPr="00CA13CC" w:rsidRDefault="00E568A1" w:rsidP="00E221F6">
            <w:pPr>
              <w:autoSpaceDE w:val="0"/>
              <w:autoSpaceDN w:val="0"/>
              <w:adjustRightInd w:val="0"/>
              <w:spacing w:after="0" w:line="240" w:lineRule="auto"/>
              <w:jc w:val="center"/>
              <w:rPr>
                <w:rFonts w:ascii="Arial" w:hAnsi="Arial" w:cs="Arial"/>
                <w:bCs/>
                <w:color w:val="000000"/>
                <w:sz w:val="14"/>
                <w:szCs w:val="14"/>
                <w:lang w:val="uk-UA"/>
              </w:rPr>
            </w:pPr>
          </w:p>
        </w:tc>
        <w:tc>
          <w:tcPr>
            <w:tcW w:w="2160" w:type="dxa"/>
            <w:tcBorders>
              <w:top w:val="nil"/>
              <w:left w:val="nil"/>
              <w:bottom w:val="nil"/>
              <w:right w:val="nil"/>
            </w:tcBorders>
            <w:shd w:val="clear" w:color="auto" w:fill="F3A3A3"/>
          </w:tcPr>
          <w:p w14:paraId="304CA885" w14:textId="77777777" w:rsidR="00E568A1" w:rsidRPr="00CA13CC" w:rsidRDefault="00E568A1" w:rsidP="00E221F6">
            <w:pPr>
              <w:autoSpaceDE w:val="0"/>
              <w:autoSpaceDN w:val="0"/>
              <w:adjustRightInd w:val="0"/>
              <w:spacing w:after="0" w:line="240" w:lineRule="auto"/>
              <w:jc w:val="center"/>
              <w:rPr>
                <w:rFonts w:ascii="Arial" w:hAnsi="Arial" w:cs="Arial"/>
                <w:color w:val="000000"/>
                <w:sz w:val="14"/>
                <w:szCs w:val="14"/>
                <w:lang w:val="uk-UA"/>
              </w:rPr>
            </w:pPr>
          </w:p>
          <w:p w14:paraId="07E9C37F"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20"/>
                <w:szCs w:val="20"/>
                <w:lang w:val="uk-UA"/>
              </w:rPr>
            </w:pPr>
            <w:r w:rsidRPr="00E221F6">
              <w:rPr>
                <w:rFonts w:ascii="Arial" w:hAnsi="Arial" w:cs="Arial"/>
                <w:color w:val="000000"/>
                <w:sz w:val="20"/>
                <w:szCs w:val="20"/>
                <w:lang w:val="en-US"/>
              </w:rPr>
              <w:t>53 (65.4)</w:t>
            </w:r>
          </w:p>
        </w:tc>
      </w:tr>
      <w:tr w:rsidR="00E568A1" w:rsidRPr="007F3064" w14:paraId="4A9945F1" w14:textId="77777777" w:rsidTr="00E221F6">
        <w:tc>
          <w:tcPr>
            <w:tcW w:w="5148" w:type="dxa"/>
            <w:tcBorders>
              <w:top w:val="nil"/>
              <w:left w:val="nil"/>
              <w:bottom w:val="single" w:sz="18" w:space="0" w:color="740000"/>
              <w:right w:val="nil"/>
            </w:tcBorders>
            <w:shd w:val="clear" w:color="auto" w:fill="FBDDDD"/>
          </w:tcPr>
          <w:p w14:paraId="74729CC1" w14:textId="77777777" w:rsidR="00E568A1" w:rsidRPr="00CA13CC" w:rsidRDefault="00E568A1" w:rsidP="00E221F6">
            <w:pPr>
              <w:autoSpaceDE w:val="0"/>
              <w:autoSpaceDN w:val="0"/>
              <w:adjustRightInd w:val="0"/>
              <w:spacing w:after="0" w:line="240" w:lineRule="auto"/>
              <w:jc w:val="both"/>
              <w:rPr>
                <w:rFonts w:ascii="Arial" w:hAnsi="Arial" w:cs="Arial"/>
                <w:bCs/>
                <w:i/>
                <w:color w:val="000000"/>
                <w:sz w:val="14"/>
                <w:szCs w:val="14"/>
                <w:lang w:val="uk-UA"/>
              </w:rPr>
            </w:pPr>
          </w:p>
          <w:p w14:paraId="6BF49A1D"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Панкреатит</w:t>
            </w:r>
          </w:p>
          <w:p w14:paraId="21C92A12"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p>
          <w:p w14:paraId="3D5FBECB" w14:textId="02B6BB3E" w:rsidR="00E568A1" w:rsidRPr="00E221F6" w:rsidRDefault="0049408A" w:rsidP="00E221F6">
            <w:pPr>
              <w:autoSpaceDE w:val="0"/>
              <w:autoSpaceDN w:val="0"/>
              <w:adjustRightInd w:val="0"/>
              <w:spacing w:after="0" w:line="240" w:lineRule="auto"/>
              <w:jc w:val="both"/>
              <w:rPr>
                <w:rFonts w:ascii="Arial" w:hAnsi="Arial" w:cs="Arial"/>
                <w:bCs/>
                <w:i/>
                <w:color w:val="000000"/>
                <w:sz w:val="20"/>
                <w:szCs w:val="20"/>
                <w:lang w:val="uk-UA"/>
              </w:rPr>
            </w:pPr>
            <w:r>
              <w:rPr>
                <w:rFonts w:ascii="Arial" w:hAnsi="Arial" w:cs="Arial"/>
                <w:bCs/>
                <w:i/>
                <w:color w:val="000000"/>
                <w:sz w:val="20"/>
                <w:szCs w:val="20"/>
                <w:lang w:val="uk-UA"/>
              </w:rPr>
              <w:t>Підвищення рівня амілази</w:t>
            </w:r>
          </w:p>
          <w:p w14:paraId="1D274BD0"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p>
          <w:p w14:paraId="0F335AB3" w14:textId="77777777" w:rsidR="00E66F8B"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 xml:space="preserve">Нудота </w:t>
            </w:r>
          </w:p>
          <w:p w14:paraId="577963A2" w14:textId="77777777" w:rsidR="00E66F8B" w:rsidRDefault="00E66F8B" w:rsidP="00E221F6">
            <w:pPr>
              <w:autoSpaceDE w:val="0"/>
              <w:autoSpaceDN w:val="0"/>
              <w:adjustRightInd w:val="0"/>
              <w:spacing w:after="0" w:line="240" w:lineRule="auto"/>
              <w:jc w:val="both"/>
              <w:rPr>
                <w:rFonts w:ascii="Arial" w:hAnsi="Arial" w:cs="Arial"/>
                <w:bCs/>
                <w:i/>
                <w:color w:val="000000"/>
                <w:sz w:val="20"/>
                <w:szCs w:val="20"/>
                <w:lang w:val="uk-UA"/>
              </w:rPr>
            </w:pPr>
          </w:p>
          <w:p w14:paraId="07942AC8" w14:textId="453A3FAE" w:rsidR="00E568A1" w:rsidRPr="00E221F6" w:rsidRDefault="0049408A" w:rsidP="00E221F6">
            <w:pPr>
              <w:autoSpaceDE w:val="0"/>
              <w:autoSpaceDN w:val="0"/>
              <w:adjustRightInd w:val="0"/>
              <w:spacing w:after="0" w:line="240" w:lineRule="auto"/>
              <w:jc w:val="both"/>
              <w:rPr>
                <w:rFonts w:ascii="Arial" w:hAnsi="Arial" w:cs="Arial"/>
                <w:bCs/>
                <w:i/>
                <w:color w:val="000000"/>
                <w:sz w:val="20"/>
                <w:szCs w:val="20"/>
                <w:lang w:val="uk-UA"/>
              </w:rPr>
            </w:pPr>
            <w:r>
              <w:rPr>
                <w:rFonts w:ascii="Arial" w:hAnsi="Arial" w:cs="Arial"/>
                <w:bCs/>
                <w:i/>
                <w:color w:val="000000"/>
                <w:sz w:val="20"/>
                <w:szCs w:val="20"/>
                <w:lang w:val="uk-UA"/>
              </w:rPr>
              <w:t>Блювання</w:t>
            </w:r>
            <w:r w:rsidR="00E568A1" w:rsidRPr="00E221F6">
              <w:rPr>
                <w:rFonts w:ascii="Arial" w:hAnsi="Arial" w:cs="Arial"/>
                <w:bCs/>
                <w:i/>
                <w:color w:val="000000"/>
                <w:sz w:val="20"/>
                <w:szCs w:val="20"/>
                <w:lang w:val="uk-UA"/>
              </w:rPr>
              <w:t xml:space="preserve"> </w:t>
            </w:r>
          </w:p>
          <w:p w14:paraId="5A39E151"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p>
          <w:p w14:paraId="7985D623"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 xml:space="preserve">Біль у животі </w:t>
            </w:r>
          </w:p>
          <w:p w14:paraId="1E74E445"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p>
          <w:p w14:paraId="0565DFBF" w14:textId="77777777" w:rsidR="00E568A1" w:rsidRPr="00E221F6" w:rsidRDefault="00E568A1" w:rsidP="00E221F6">
            <w:pPr>
              <w:autoSpaceDE w:val="0"/>
              <w:autoSpaceDN w:val="0"/>
              <w:adjustRightInd w:val="0"/>
              <w:spacing w:after="0" w:line="240" w:lineRule="auto"/>
              <w:jc w:val="both"/>
              <w:rPr>
                <w:rFonts w:ascii="Arial" w:hAnsi="Arial" w:cs="Arial"/>
                <w:bCs/>
                <w:i/>
                <w:color w:val="000000"/>
                <w:sz w:val="20"/>
                <w:szCs w:val="20"/>
                <w:lang w:val="uk-UA"/>
              </w:rPr>
            </w:pPr>
            <w:r w:rsidRPr="00E221F6">
              <w:rPr>
                <w:rFonts w:ascii="Arial" w:hAnsi="Arial" w:cs="Arial"/>
                <w:bCs/>
                <w:i/>
                <w:color w:val="000000"/>
                <w:sz w:val="20"/>
                <w:szCs w:val="20"/>
                <w:lang w:val="uk-UA"/>
              </w:rPr>
              <w:t xml:space="preserve">Гастрит </w:t>
            </w:r>
          </w:p>
        </w:tc>
        <w:tc>
          <w:tcPr>
            <w:tcW w:w="2160" w:type="dxa"/>
            <w:tcBorders>
              <w:top w:val="nil"/>
              <w:left w:val="nil"/>
              <w:bottom w:val="single" w:sz="18" w:space="0" w:color="740000"/>
              <w:right w:val="nil"/>
            </w:tcBorders>
            <w:shd w:val="clear" w:color="auto" w:fill="FBDDDD"/>
          </w:tcPr>
          <w:p w14:paraId="30454A1A" w14:textId="77777777" w:rsidR="00E568A1" w:rsidRPr="00CA13CC" w:rsidRDefault="00E568A1" w:rsidP="00E221F6">
            <w:pPr>
              <w:autoSpaceDE w:val="0"/>
              <w:autoSpaceDN w:val="0"/>
              <w:adjustRightInd w:val="0"/>
              <w:spacing w:after="0" w:line="240" w:lineRule="auto"/>
              <w:jc w:val="center"/>
              <w:rPr>
                <w:rFonts w:ascii="Arial" w:hAnsi="Arial" w:cs="Arial"/>
                <w:i/>
                <w:iCs/>
                <w:color w:val="000000"/>
                <w:sz w:val="14"/>
                <w:szCs w:val="14"/>
                <w:lang w:val="uk-UA"/>
              </w:rPr>
            </w:pPr>
          </w:p>
          <w:p w14:paraId="6D388542"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r w:rsidRPr="00E221F6">
              <w:rPr>
                <w:rFonts w:ascii="Arial" w:hAnsi="Arial" w:cs="Arial"/>
                <w:i/>
                <w:iCs/>
                <w:color w:val="000000"/>
                <w:sz w:val="20"/>
                <w:szCs w:val="20"/>
                <w:lang w:val="en-US"/>
              </w:rPr>
              <w:t>1 (1.3)</w:t>
            </w:r>
          </w:p>
          <w:p w14:paraId="2C5D2F90"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p>
          <w:p w14:paraId="0DF66116"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r w:rsidRPr="00E221F6">
              <w:rPr>
                <w:rFonts w:ascii="Arial" w:hAnsi="Arial" w:cs="Arial"/>
                <w:i/>
                <w:iCs/>
                <w:color w:val="000000"/>
                <w:sz w:val="20"/>
                <w:szCs w:val="20"/>
                <w:lang w:val="en-US"/>
              </w:rPr>
              <w:t>2 (2.5)</w:t>
            </w:r>
          </w:p>
          <w:p w14:paraId="3FF73E31"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uk-UA"/>
              </w:rPr>
            </w:pPr>
          </w:p>
          <w:p w14:paraId="0B19B64B" w14:textId="77777777" w:rsidR="00E568A1" w:rsidRPr="00E221F6" w:rsidRDefault="00E568A1" w:rsidP="00E221F6">
            <w:pPr>
              <w:autoSpaceDE w:val="0"/>
              <w:autoSpaceDN w:val="0"/>
              <w:adjustRightInd w:val="0"/>
              <w:spacing w:after="0" w:line="240" w:lineRule="auto"/>
              <w:jc w:val="center"/>
              <w:rPr>
                <w:rFonts w:ascii="Arial" w:hAnsi="Arial" w:cs="Arial"/>
                <w:bCs/>
                <w:i/>
                <w:color w:val="000000"/>
                <w:sz w:val="20"/>
                <w:szCs w:val="20"/>
                <w:lang w:val="uk-UA"/>
              </w:rPr>
            </w:pPr>
            <w:r w:rsidRPr="00E221F6">
              <w:rPr>
                <w:rFonts w:ascii="Arial" w:hAnsi="Arial" w:cs="Arial"/>
                <w:bCs/>
                <w:i/>
                <w:color w:val="000000"/>
                <w:sz w:val="20"/>
                <w:szCs w:val="20"/>
                <w:lang w:val="uk-UA"/>
              </w:rPr>
              <w:t>32 (40,5)</w:t>
            </w:r>
          </w:p>
          <w:p w14:paraId="74732293" w14:textId="77777777" w:rsidR="00E568A1" w:rsidRPr="00E221F6" w:rsidRDefault="00E568A1" w:rsidP="00E221F6">
            <w:pPr>
              <w:autoSpaceDE w:val="0"/>
              <w:autoSpaceDN w:val="0"/>
              <w:adjustRightInd w:val="0"/>
              <w:spacing w:after="0" w:line="240" w:lineRule="auto"/>
              <w:jc w:val="center"/>
              <w:rPr>
                <w:rFonts w:ascii="Arial" w:hAnsi="Arial" w:cs="Arial"/>
                <w:bCs/>
                <w:i/>
                <w:color w:val="000000"/>
                <w:sz w:val="20"/>
                <w:szCs w:val="20"/>
                <w:lang w:val="uk-UA"/>
              </w:rPr>
            </w:pPr>
          </w:p>
          <w:p w14:paraId="6E0340AE" w14:textId="0DD5531E" w:rsidR="00E66F8B" w:rsidRPr="00E221F6" w:rsidRDefault="00E66F8B" w:rsidP="00E66F8B">
            <w:pPr>
              <w:autoSpaceDE w:val="0"/>
              <w:autoSpaceDN w:val="0"/>
              <w:adjustRightInd w:val="0"/>
              <w:spacing w:after="0" w:line="240" w:lineRule="auto"/>
              <w:jc w:val="both"/>
              <w:rPr>
                <w:rFonts w:ascii="Arial" w:hAnsi="Arial" w:cs="Arial"/>
                <w:bCs/>
                <w:i/>
                <w:color w:val="000000"/>
                <w:sz w:val="20"/>
                <w:szCs w:val="20"/>
                <w:lang w:val="uk-UA"/>
              </w:rPr>
            </w:pPr>
            <w:r>
              <w:rPr>
                <w:rFonts w:ascii="Arial" w:hAnsi="Arial" w:cs="Arial"/>
                <w:bCs/>
                <w:i/>
                <w:color w:val="000000"/>
                <w:sz w:val="20"/>
                <w:szCs w:val="20"/>
                <w:lang w:val="uk-UA"/>
              </w:rPr>
              <w:t xml:space="preserve">            </w:t>
            </w:r>
            <w:r w:rsidRPr="00E221F6">
              <w:rPr>
                <w:rFonts w:ascii="Arial" w:hAnsi="Arial" w:cs="Arial"/>
                <w:bCs/>
                <w:i/>
                <w:color w:val="000000"/>
                <w:sz w:val="20"/>
                <w:szCs w:val="20"/>
                <w:lang w:val="uk-UA"/>
              </w:rPr>
              <w:t xml:space="preserve">23 (29.1) </w:t>
            </w:r>
          </w:p>
          <w:p w14:paraId="44ED1071" w14:textId="77777777" w:rsidR="00E66F8B" w:rsidRDefault="00E66F8B" w:rsidP="00E221F6">
            <w:pPr>
              <w:autoSpaceDE w:val="0"/>
              <w:autoSpaceDN w:val="0"/>
              <w:adjustRightInd w:val="0"/>
              <w:spacing w:after="0" w:line="240" w:lineRule="auto"/>
              <w:jc w:val="center"/>
              <w:rPr>
                <w:rFonts w:ascii="Arial" w:hAnsi="Arial" w:cs="Arial"/>
                <w:bCs/>
                <w:i/>
                <w:color w:val="000000"/>
                <w:sz w:val="20"/>
                <w:szCs w:val="20"/>
                <w:lang w:val="uk-UA"/>
              </w:rPr>
            </w:pPr>
          </w:p>
          <w:p w14:paraId="32A853C4" w14:textId="4BE25BC5" w:rsidR="00E66F8B" w:rsidRDefault="00E66F8B" w:rsidP="00E66F8B">
            <w:pPr>
              <w:autoSpaceDE w:val="0"/>
              <w:autoSpaceDN w:val="0"/>
              <w:adjustRightInd w:val="0"/>
              <w:spacing w:after="0" w:line="240" w:lineRule="auto"/>
              <w:rPr>
                <w:rFonts w:ascii="Arial" w:hAnsi="Arial" w:cs="Arial"/>
                <w:bCs/>
                <w:i/>
                <w:color w:val="000000"/>
                <w:sz w:val="20"/>
                <w:szCs w:val="20"/>
                <w:lang w:val="uk-UA"/>
              </w:rPr>
            </w:pPr>
            <w:r>
              <w:rPr>
                <w:rFonts w:ascii="Arial" w:hAnsi="Arial" w:cs="Arial"/>
                <w:bCs/>
                <w:i/>
                <w:color w:val="000000"/>
                <w:sz w:val="20"/>
                <w:szCs w:val="20"/>
                <w:lang w:val="uk-UA"/>
              </w:rPr>
              <w:t xml:space="preserve">           </w:t>
            </w:r>
            <w:r w:rsidRPr="00E221F6">
              <w:rPr>
                <w:rFonts w:ascii="Arial" w:hAnsi="Arial" w:cs="Arial"/>
                <w:bCs/>
                <w:i/>
                <w:color w:val="000000"/>
                <w:sz w:val="20"/>
                <w:szCs w:val="20"/>
                <w:lang w:val="uk-UA"/>
              </w:rPr>
              <w:t>10 (12,7)</w:t>
            </w:r>
            <w:r>
              <w:rPr>
                <w:rFonts w:ascii="Arial" w:hAnsi="Arial" w:cs="Arial"/>
                <w:bCs/>
                <w:i/>
                <w:color w:val="000000"/>
                <w:sz w:val="20"/>
                <w:szCs w:val="20"/>
                <w:lang w:val="uk-UA"/>
              </w:rPr>
              <w:t xml:space="preserve">      </w:t>
            </w:r>
          </w:p>
          <w:p w14:paraId="7EA25CF7" w14:textId="77777777" w:rsidR="00E66F8B" w:rsidRDefault="00E66F8B" w:rsidP="00E221F6">
            <w:pPr>
              <w:autoSpaceDE w:val="0"/>
              <w:autoSpaceDN w:val="0"/>
              <w:adjustRightInd w:val="0"/>
              <w:spacing w:after="0" w:line="240" w:lineRule="auto"/>
              <w:jc w:val="center"/>
              <w:rPr>
                <w:rFonts w:ascii="Arial" w:hAnsi="Arial" w:cs="Arial"/>
                <w:bCs/>
                <w:i/>
                <w:color w:val="000000"/>
                <w:sz w:val="20"/>
                <w:szCs w:val="20"/>
                <w:lang w:val="uk-UA"/>
              </w:rPr>
            </w:pPr>
          </w:p>
          <w:p w14:paraId="3869F2D2" w14:textId="77777777" w:rsidR="00E568A1" w:rsidRPr="00E221F6" w:rsidRDefault="00E568A1" w:rsidP="00E221F6">
            <w:pPr>
              <w:autoSpaceDE w:val="0"/>
              <w:autoSpaceDN w:val="0"/>
              <w:adjustRightInd w:val="0"/>
              <w:spacing w:after="0" w:line="240" w:lineRule="auto"/>
              <w:jc w:val="center"/>
              <w:rPr>
                <w:rFonts w:ascii="Arial" w:hAnsi="Arial" w:cs="Arial"/>
                <w:i/>
                <w:color w:val="000000"/>
                <w:sz w:val="20"/>
                <w:szCs w:val="20"/>
                <w:lang w:val="uk-UA"/>
              </w:rPr>
            </w:pPr>
            <w:r w:rsidRPr="00E221F6">
              <w:rPr>
                <w:rFonts w:ascii="Arial" w:hAnsi="Arial" w:cs="Arial"/>
                <w:bCs/>
                <w:i/>
                <w:color w:val="000000"/>
                <w:sz w:val="20"/>
                <w:szCs w:val="20"/>
                <w:lang w:val="uk-UA"/>
              </w:rPr>
              <w:t>7 (8.9)</w:t>
            </w:r>
          </w:p>
        </w:tc>
        <w:tc>
          <w:tcPr>
            <w:tcW w:w="2160" w:type="dxa"/>
            <w:tcBorders>
              <w:top w:val="nil"/>
              <w:left w:val="nil"/>
              <w:bottom w:val="single" w:sz="18" w:space="0" w:color="740000"/>
              <w:right w:val="nil"/>
            </w:tcBorders>
            <w:shd w:val="clear" w:color="auto" w:fill="FBDDDD"/>
          </w:tcPr>
          <w:p w14:paraId="53952B58" w14:textId="77777777" w:rsidR="00E568A1" w:rsidRPr="00CA13CC" w:rsidRDefault="00E568A1" w:rsidP="00E221F6">
            <w:pPr>
              <w:autoSpaceDE w:val="0"/>
              <w:autoSpaceDN w:val="0"/>
              <w:adjustRightInd w:val="0"/>
              <w:spacing w:after="0" w:line="240" w:lineRule="auto"/>
              <w:jc w:val="center"/>
              <w:rPr>
                <w:rFonts w:ascii="Arial" w:hAnsi="Arial" w:cs="Arial"/>
                <w:i/>
                <w:color w:val="000000"/>
                <w:sz w:val="14"/>
                <w:szCs w:val="14"/>
                <w:lang w:val="uk-UA"/>
              </w:rPr>
            </w:pPr>
          </w:p>
          <w:p w14:paraId="1CACACA2" w14:textId="77777777" w:rsidR="00E568A1" w:rsidRPr="00E221F6" w:rsidRDefault="00E568A1" w:rsidP="00E221F6">
            <w:pPr>
              <w:autoSpaceDE w:val="0"/>
              <w:autoSpaceDN w:val="0"/>
              <w:adjustRightInd w:val="0"/>
              <w:spacing w:after="0" w:line="240" w:lineRule="auto"/>
              <w:jc w:val="center"/>
              <w:rPr>
                <w:rFonts w:ascii="Arial" w:hAnsi="Arial" w:cs="Arial"/>
                <w:i/>
                <w:color w:val="000000"/>
                <w:sz w:val="20"/>
                <w:szCs w:val="20"/>
                <w:lang w:val="uk-UA"/>
              </w:rPr>
            </w:pPr>
            <w:r w:rsidRPr="00E221F6">
              <w:rPr>
                <w:rFonts w:ascii="Arial" w:hAnsi="Arial" w:cs="Arial"/>
                <w:i/>
                <w:color w:val="000000"/>
                <w:sz w:val="20"/>
                <w:szCs w:val="20"/>
                <w:lang w:val="uk-UA"/>
              </w:rPr>
              <w:t>0</w:t>
            </w:r>
          </w:p>
          <w:p w14:paraId="27677847" w14:textId="77777777" w:rsidR="00E568A1" w:rsidRPr="00E221F6" w:rsidRDefault="00E568A1" w:rsidP="00E221F6">
            <w:pPr>
              <w:autoSpaceDE w:val="0"/>
              <w:autoSpaceDN w:val="0"/>
              <w:adjustRightInd w:val="0"/>
              <w:spacing w:after="0" w:line="240" w:lineRule="auto"/>
              <w:jc w:val="center"/>
              <w:rPr>
                <w:rFonts w:ascii="Arial" w:hAnsi="Arial" w:cs="Arial"/>
                <w:i/>
                <w:color w:val="000000"/>
                <w:sz w:val="20"/>
                <w:szCs w:val="20"/>
                <w:lang w:val="uk-UA"/>
              </w:rPr>
            </w:pPr>
          </w:p>
          <w:p w14:paraId="477E02D3" w14:textId="77777777" w:rsidR="00E568A1" w:rsidRPr="00E221F6" w:rsidRDefault="00E568A1" w:rsidP="00E221F6">
            <w:pPr>
              <w:autoSpaceDE w:val="0"/>
              <w:autoSpaceDN w:val="0"/>
              <w:adjustRightInd w:val="0"/>
              <w:spacing w:after="0" w:line="240" w:lineRule="auto"/>
              <w:jc w:val="center"/>
              <w:rPr>
                <w:rFonts w:ascii="Arial" w:hAnsi="Arial" w:cs="Arial"/>
                <w:i/>
                <w:iCs/>
                <w:color w:val="000000"/>
                <w:sz w:val="20"/>
                <w:szCs w:val="20"/>
                <w:lang w:val="en-US"/>
              </w:rPr>
            </w:pPr>
            <w:r w:rsidRPr="00E221F6">
              <w:rPr>
                <w:rFonts w:ascii="Arial" w:hAnsi="Arial" w:cs="Arial"/>
                <w:i/>
                <w:iCs/>
                <w:color w:val="000000"/>
                <w:sz w:val="20"/>
                <w:szCs w:val="20"/>
                <w:lang w:val="en-US"/>
              </w:rPr>
              <w:t>1 (1.2)</w:t>
            </w:r>
          </w:p>
          <w:p w14:paraId="483F39FC" w14:textId="77777777" w:rsidR="00E568A1" w:rsidRPr="00E221F6" w:rsidRDefault="00E568A1" w:rsidP="00E221F6">
            <w:pPr>
              <w:autoSpaceDE w:val="0"/>
              <w:autoSpaceDN w:val="0"/>
              <w:adjustRightInd w:val="0"/>
              <w:spacing w:after="0" w:line="240" w:lineRule="auto"/>
              <w:jc w:val="center"/>
              <w:rPr>
                <w:rFonts w:ascii="Arial" w:hAnsi="Arial" w:cs="Arial"/>
                <w:i/>
                <w:color w:val="000000"/>
                <w:sz w:val="20"/>
                <w:szCs w:val="20"/>
                <w:lang w:val="uk-UA"/>
              </w:rPr>
            </w:pPr>
          </w:p>
          <w:p w14:paraId="3CA05083" w14:textId="77777777" w:rsidR="00E568A1" w:rsidRPr="00E221F6" w:rsidRDefault="00E568A1" w:rsidP="00E221F6">
            <w:pPr>
              <w:autoSpaceDE w:val="0"/>
              <w:autoSpaceDN w:val="0"/>
              <w:adjustRightInd w:val="0"/>
              <w:spacing w:after="0" w:line="240" w:lineRule="auto"/>
              <w:jc w:val="center"/>
              <w:rPr>
                <w:rFonts w:ascii="Arial" w:hAnsi="Arial" w:cs="Arial"/>
                <w:bCs/>
                <w:i/>
                <w:color w:val="000000"/>
                <w:sz w:val="20"/>
                <w:szCs w:val="20"/>
                <w:lang w:val="uk-UA"/>
              </w:rPr>
            </w:pPr>
            <w:r w:rsidRPr="00E221F6">
              <w:rPr>
                <w:rFonts w:ascii="Arial" w:hAnsi="Arial" w:cs="Arial"/>
                <w:bCs/>
                <w:i/>
                <w:color w:val="000000"/>
                <w:sz w:val="20"/>
                <w:szCs w:val="20"/>
                <w:lang w:val="uk-UA"/>
              </w:rPr>
              <w:t>30 (37,0)</w:t>
            </w:r>
          </w:p>
          <w:p w14:paraId="6D3D94DE" w14:textId="77777777" w:rsidR="00E568A1" w:rsidRPr="00E221F6" w:rsidRDefault="00E568A1" w:rsidP="00E221F6">
            <w:pPr>
              <w:autoSpaceDE w:val="0"/>
              <w:autoSpaceDN w:val="0"/>
              <w:adjustRightInd w:val="0"/>
              <w:spacing w:after="0" w:line="240" w:lineRule="auto"/>
              <w:jc w:val="center"/>
              <w:rPr>
                <w:rFonts w:ascii="Arial" w:hAnsi="Arial" w:cs="Arial"/>
                <w:i/>
                <w:color w:val="000000"/>
                <w:sz w:val="20"/>
                <w:szCs w:val="20"/>
                <w:lang w:val="uk-UA"/>
              </w:rPr>
            </w:pPr>
          </w:p>
          <w:p w14:paraId="7ED15A76" w14:textId="38BC8A9F" w:rsidR="00E568A1" w:rsidRPr="00E221F6" w:rsidRDefault="00E66F8B" w:rsidP="00E221F6">
            <w:pPr>
              <w:autoSpaceDE w:val="0"/>
              <w:autoSpaceDN w:val="0"/>
              <w:adjustRightInd w:val="0"/>
              <w:spacing w:after="0" w:line="240" w:lineRule="auto"/>
              <w:jc w:val="center"/>
              <w:rPr>
                <w:rFonts w:ascii="Arial" w:hAnsi="Arial" w:cs="Arial"/>
                <w:bCs/>
                <w:i/>
                <w:color w:val="000000"/>
                <w:sz w:val="20"/>
                <w:szCs w:val="20"/>
                <w:lang w:val="uk-UA"/>
              </w:rPr>
            </w:pPr>
            <w:r w:rsidRPr="00E221F6">
              <w:rPr>
                <w:rFonts w:ascii="Arial" w:hAnsi="Arial" w:cs="Arial"/>
                <w:bCs/>
                <w:i/>
                <w:color w:val="000000"/>
                <w:sz w:val="20"/>
                <w:szCs w:val="20"/>
                <w:lang w:val="uk-UA"/>
              </w:rPr>
              <w:t>22 (27.2)</w:t>
            </w:r>
          </w:p>
          <w:p w14:paraId="45E78569" w14:textId="77777777" w:rsidR="00E66F8B" w:rsidRDefault="00E66F8B" w:rsidP="00E66F8B">
            <w:pPr>
              <w:autoSpaceDE w:val="0"/>
              <w:autoSpaceDN w:val="0"/>
              <w:adjustRightInd w:val="0"/>
              <w:spacing w:after="0" w:line="240" w:lineRule="auto"/>
              <w:rPr>
                <w:rFonts w:ascii="Arial" w:hAnsi="Arial" w:cs="Arial"/>
                <w:bCs/>
                <w:i/>
                <w:color w:val="000000"/>
                <w:sz w:val="20"/>
                <w:szCs w:val="20"/>
                <w:lang w:val="uk-UA"/>
              </w:rPr>
            </w:pPr>
          </w:p>
          <w:p w14:paraId="147797FC" w14:textId="5DF5D5C0" w:rsidR="00E66F8B" w:rsidRPr="00E221F6" w:rsidRDefault="00E66F8B" w:rsidP="00E66F8B">
            <w:pPr>
              <w:autoSpaceDE w:val="0"/>
              <w:autoSpaceDN w:val="0"/>
              <w:adjustRightInd w:val="0"/>
              <w:spacing w:after="0" w:line="240" w:lineRule="auto"/>
              <w:rPr>
                <w:rFonts w:ascii="Arial" w:hAnsi="Arial" w:cs="Arial"/>
                <w:bCs/>
                <w:i/>
                <w:color w:val="000000"/>
                <w:sz w:val="20"/>
                <w:szCs w:val="20"/>
                <w:lang w:val="uk-UA"/>
              </w:rPr>
            </w:pPr>
            <w:r>
              <w:rPr>
                <w:rFonts w:ascii="Arial" w:hAnsi="Arial" w:cs="Arial"/>
                <w:bCs/>
                <w:i/>
                <w:color w:val="000000"/>
                <w:sz w:val="20"/>
                <w:szCs w:val="20"/>
                <w:lang w:val="uk-UA"/>
              </w:rPr>
              <w:t xml:space="preserve">            </w:t>
            </w:r>
            <w:r w:rsidRPr="00E221F6">
              <w:rPr>
                <w:rFonts w:ascii="Arial" w:hAnsi="Arial" w:cs="Arial"/>
                <w:bCs/>
                <w:i/>
                <w:color w:val="000000"/>
                <w:sz w:val="20"/>
                <w:szCs w:val="20"/>
                <w:lang w:val="uk-UA"/>
              </w:rPr>
              <w:t>7 (8,6)</w:t>
            </w:r>
          </w:p>
          <w:p w14:paraId="503CBB5F" w14:textId="77777777" w:rsidR="00E66F8B" w:rsidRDefault="00E66F8B" w:rsidP="00E221F6">
            <w:pPr>
              <w:autoSpaceDE w:val="0"/>
              <w:autoSpaceDN w:val="0"/>
              <w:adjustRightInd w:val="0"/>
              <w:spacing w:after="0" w:line="240" w:lineRule="auto"/>
              <w:jc w:val="center"/>
              <w:rPr>
                <w:rFonts w:ascii="Arial" w:hAnsi="Arial" w:cs="Arial"/>
                <w:bCs/>
                <w:i/>
                <w:color w:val="000000"/>
                <w:sz w:val="20"/>
                <w:szCs w:val="20"/>
                <w:lang w:val="uk-UA"/>
              </w:rPr>
            </w:pPr>
          </w:p>
          <w:p w14:paraId="40885E5F" w14:textId="4B0E5FA9" w:rsidR="00E568A1" w:rsidRPr="00E221F6" w:rsidRDefault="00E66F8B" w:rsidP="00E66F8B">
            <w:pPr>
              <w:autoSpaceDE w:val="0"/>
              <w:autoSpaceDN w:val="0"/>
              <w:adjustRightInd w:val="0"/>
              <w:spacing w:after="0" w:line="240" w:lineRule="auto"/>
              <w:rPr>
                <w:rFonts w:ascii="Arial" w:hAnsi="Arial" w:cs="Arial"/>
                <w:i/>
                <w:color w:val="000000"/>
                <w:sz w:val="20"/>
                <w:szCs w:val="20"/>
                <w:lang w:val="uk-UA"/>
              </w:rPr>
            </w:pPr>
            <w:r>
              <w:rPr>
                <w:rFonts w:ascii="Arial" w:hAnsi="Arial" w:cs="Arial"/>
                <w:bCs/>
                <w:i/>
                <w:color w:val="000000"/>
                <w:sz w:val="20"/>
                <w:szCs w:val="20"/>
                <w:lang w:val="uk-UA"/>
              </w:rPr>
              <w:t xml:space="preserve">          </w:t>
            </w:r>
            <w:r w:rsidR="00E568A1" w:rsidRPr="00E221F6">
              <w:rPr>
                <w:rFonts w:ascii="Arial" w:hAnsi="Arial" w:cs="Arial"/>
                <w:bCs/>
                <w:i/>
                <w:color w:val="000000"/>
                <w:sz w:val="20"/>
                <w:szCs w:val="20"/>
                <w:lang w:val="uk-UA"/>
              </w:rPr>
              <w:t>16 (19.8)</w:t>
            </w:r>
          </w:p>
        </w:tc>
      </w:tr>
    </w:tbl>
    <w:p w14:paraId="751D09CF" w14:textId="77777777" w:rsidR="00E568A1" w:rsidRPr="00255826" w:rsidRDefault="00E568A1" w:rsidP="0037724F">
      <w:pPr>
        <w:autoSpaceDE w:val="0"/>
        <w:autoSpaceDN w:val="0"/>
        <w:adjustRightInd w:val="0"/>
        <w:spacing w:after="0" w:line="240" w:lineRule="auto"/>
        <w:jc w:val="both"/>
        <w:rPr>
          <w:rFonts w:ascii="Arial" w:hAnsi="Arial" w:cs="Arial"/>
          <w:b/>
          <w:bCs/>
          <w:i/>
          <w:iCs/>
          <w:color w:val="000000"/>
          <w:sz w:val="26"/>
          <w:szCs w:val="26"/>
          <w:lang w:val="en-US"/>
        </w:rPr>
      </w:pPr>
    </w:p>
    <w:p w14:paraId="760E538A" w14:textId="7E6C2C89" w:rsidR="00E568A1" w:rsidRPr="0049408A" w:rsidRDefault="0049408A" w:rsidP="0037724F">
      <w:pPr>
        <w:autoSpaceDE w:val="0"/>
        <w:autoSpaceDN w:val="0"/>
        <w:adjustRightInd w:val="0"/>
        <w:spacing w:after="0" w:line="240" w:lineRule="auto"/>
        <w:jc w:val="both"/>
        <w:rPr>
          <w:rFonts w:ascii="Arial" w:hAnsi="Arial" w:cs="Arial"/>
          <w:b/>
          <w:bCs/>
          <w:i/>
          <w:iCs/>
          <w:color w:val="6A2041"/>
          <w:sz w:val="26"/>
          <w:szCs w:val="26"/>
          <w:lang w:val="uk-UA"/>
        </w:rPr>
      </w:pPr>
      <w:r>
        <w:rPr>
          <w:rFonts w:ascii="Arial" w:hAnsi="Arial" w:cs="Arial"/>
          <w:b/>
          <w:bCs/>
          <w:i/>
          <w:iCs/>
          <w:color w:val="6A2041"/>
          <w:sz w:val="26"/>
          <w:szCs w:val="26"/>
        </w:rPr>
        <w:t>Безпека серцево-судинної системи</w:t>
      </w:r>
      <w:r w:rsidR="00E568A1" w:rsidRPr="0049408A">
        <w:rPr>
          <w:rFonts w:ascii="Arial" w:hAnsi="Arial" w:cs="Arial"/>
          <w:b/>
          <w:bCs/>
          <w:i/>
          <w:iCs/>
          <w:color w:val="6A2041"/>
          <w:sz w:val="26"/>
          <w:szCs w:val="26"/>
        </w:rPr>
        <w:t xml:space="preserve"> (</w:t>
      </w:r>
      <w:r>
        <w:rPr>
          <w:rFonts w:ascii="Arial" w:hAnsi="Arial" w:cs="Arial"/>
          <w:b/>
          <w:bCs/>
          <w:i/>
          <w:iCs/>
          <w:color w:val="6A2041"/>
          <w:sz w:val="26"/>
          <w:szCs w:val="26"/>
        </w:rPr>
        <w:t>Дослідження</w:t>
      </w:r>
      <w:r w:rsidR="00E568A1" w:rsidRPr="0049408A">
        <w:rPr>
          <w:rFonts w:ascii="Arial" w:hAnsi="Arial" w:cs="Arial"/>
          <w:b/>
          <w:bCs/>
          <w:i/>
          <w:iCs/>
          <w:color w:val="6A2041"/>
          <w:sz w:val="26"/>
          <w:szCs w:val="26"/>
        </w:rPr>
        <w:t xml:space="preserve"> C208: </w:t>
      </w:r>
      <w:r w:rsidR="006F793B" w:rsidRPr="0049408A">
        <w:rPr>
          <w:rFonts w:ascii="Arial" w:hAnsi="Arial" w:cs="Arial"/>
          <w:b/>
          <w:bCs/>
          <w:i/>
          <w:iCs/>
          <w:color w:val="6A2041"/>
          <w:sz w:val="26"/>
          <w:szCs w:val="26"/>
        </w:rPr>
        <w:t>узагальнений досвід першо</w:t>
      </w:r>
      <w:r w:rsidR="006F793B" w:rsidRPr="0049408A">
        <w:rPr>
          <w:rFonts w:ascii="Arial" w:hAnsi="Arial" w:cs="Arial"/>
          <w:b/>
          <w:bCs/>
          <w:i/>
          <w:iCs/>
          <w:color w:val="6A2041"/>
          <w:sz w:val="26"/>
          <w:szCs w:val="26"/>
          <w:lang w:val="uk-UA"/>
        </w:rPr>
        <w:t>го</w:t>
      </w:r>
      <w:r w:rsidR="006F793B" w:rsidRPr="0049408A">
        <w:rPr>
          <w:rFonts w:ascii="Arial" w:hAnsi="Arial" w:cs="Arial"/>
          <w:b/>
          <w:bCs/>
          <w:i/>
          <w:iCs/>
          <w:color w:val="6A2041"/>
          <w:sz w:val="26"/>
          <w:szCs w:val="26"/>
        </w:rPr>
        <w:t xml:space="preserve"> та другого етапів</w:t>
      </w:r>
      <w:r w:rsidR="00E568A1" w:rsidRPr="0049408A">
        <w:rPr>
          <w:rFonts w:ascii="Arial" w:hAnsi="Arial" w:cs="Arial"/>
          <w:b/>
          <w:bCs/>
          <w:i/>
          <w:iCs/>
          <w:color w:val="6A2041"/>
          <w:sz w:val="26"/>
          <w:szCs w:val="26"/>
        </w:rPr>
        <w:t>)</w:t>
      </w:r>
    </w:p>
    <w:p w14:paraId="16D24A80" w14:textId="77777777" w:rsidR="0049408A" w:rsidRDefault="0049408A" w:rsidP="0037724F">
      <w:pPr>
        <w:autoSpaceDE w:val="0"/>
        <w:autoSpaceDN w:val="0"/>
        <w:adjustRightInd w:val="0"/>
        <w:spacing w:after="0" w:line="240" w:lineRule="auto"/>
        <w:jc w:val="both"/>
        <w:rPr>
          <w:rFonts w:ascii="Arial" w:hAnsi="Arial" w:cs="Arial"/>
          <w:b/>
          <w:bCs/>
          <w:i/>
          <w:iCs/>
          <w:color w:val="000000"/>
          <w:sz w:val="26"/>
          <w:szCs w:val="26"/>
          <w:lang w:val="en-US"/>
        </w:rPr>
      </w:pPr>
    </w:p>
    <w:p w14:paraId="2765595A" w14:textId="3F61C071" w:rsidR="00E568A1" w:rsidRPr="00702968" w:rsidRDefault="00E568A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Середнє збільшення </w:t>
      </w:r>
      <w:r w:rsidR="00490E00">
        <w:rPr>
          <w:rFonts w:ascii="Arial" w:hAnsi="Arial" w:cs="Arial"/>
          <w:color w:val="000000"/>
          <w:lang w:val="uk-UA"/>
        </w:rPr>
        <w:t xml:space="preserve">інтервалу </w:t>
      </w:r>
      <w:r>
        <w:rPr>
          <w:rFonts w:ascii="Arial" w:hAnsi="Arial" w:cs="Arial"/>
          <w:color w:val="000000"/>
          <w:lang w:val="uk-UA"/>
        </w:rPr>
        <w:t>QTcF</w:t>
      </w:r>
      <w:r w:rsidRPr="00702968">
        <w:rPr>
          <w:rFonts w:ascii="Arial" w:hAnsi="Arial" w:cs="Arial"/>
          <w:color w:val="000000"/>
          <w:vertAlign w:val="superscript"/>
          <w:lang w:val="uk-UA"/>
        </w:rPr>
        <w:t>17</w:t>
      </w:r>
      <w:r w:rsidRPr="002A4A76">
        <w:rPr>
          <w:rFonts w:ascii="Arial" w:hAnsi="Arial" w:cs="Arial"/>
          <w:color w:val="000000"/>
          <w:lang w:val="uk-UA"/>
        </w:rPr>
        <w:t xml:space="preserve"> спостерігалося як в</w:t>
      </w:r>
      <w:r w:rsidR="00132D68">
        <w:rPr>
          <w:rFonts w:ascii="Arial" w:hAnsi="Arial" w:cs="Arial"/>
          <w:color w:val="000000"/>
          <w:lang w:val="uk-UA"/>
        </w:rPr>
        <w:t xml:space="preserve"> об'єднаній групі бедаквіліну (“</w:t>
      </w:r>
      <w:r w:rsidR="000F37B2">
        <w:rPr>
          <w:rFonts w:ascii="Arial" w:hAnsi="Arial" w:cs="Arial"/>
          <w:color w:val="000000"/>
          <w:lang w:val="uk-UA"/>
        </w:rPr>
        <w:t>Будь-який бедаквілін</w:t>
      </w:r>
      <w:r w:rsidR="00132D68">
        <w:rPr>
          <w:rFonts w:ascii="Arial" w:hAnsi="Arial" w:cs="Arial"/>
          <w:color w:val="000000"/>
          <w:lang w:val="uk-UA"/>
        </w:rPr>
        <w:t>”</w:t>
      </w:r>
      <w:r w:rsidRPr="002A4A76">
        <w:rPr>
          <w:rFonts w:ascii="Arial" w:hAnsi="Arial" w:cs="Arial"/>
          <w:color w:val="000000"/>
          <w:lang w:val="uk-UA"/>
        </w:rPr>
        <w:t xml:space="preserve">), так </w:t>
      </w:r>
      <w:r w:rsidR="00132D68">
        <w:rPr>
          <w:rFonts w:ascii="Arial" w:hAnsi="Arial" w:cs="Arial"/>
          <w:color w:val="000000"/>
          <w:lang w:val="uk-UA"/>
        </w:rPr>
        <w:t>і в  об'єднаній групі плацебо (“</w:t>
      </w:r>
      <w:r w:rsidR="000F37B2">
        <w:rPr>
          <w:rFonts w:ascii="Arial" w:hAnsi="Arial" w:cs="Arial"/>
          <w:color w:val="000000"/>
          <w:lang w:val="uk-UA"/>
        </w:rPr>
        <w:t xml:space="preserve">Будь-яке </w:t>
      </w:r>
      <w:r w:rsidR="00132D68">
        <w:rPr>
          <w:rFonts w:ascii="Arial" w:hAnsi="Arial" w:cs="Arial"/>
          <w:color w:val="000000"/>
          <w:lang w:val="uk-UA"/>
        </w:rPr>
        <w:t>плацебо”</w:t>
      </w:r>
      <w:r w:rsidRPr="002A4A76">
        <w:rPr>
          <w:rFonts w:ascii="Arial" w:hAnsi="Arial" w:cs="Arial"/>
          <w:color w:val="000000"/>
          <w:lang w:val="uk-UA"/>
        </w:rPr>
        <w:t xml:space="preserve">), проте вони були більш вираженими у </w:t>
      </w:r>
      <w:r w:rsidR="000F37B2">
        <w:rPr>
          <w:rFonts w:ascii="Arial" w:hAnsi="Arial" w:cs="Arial"/>
          <w:color w:val="000000"/>
          <w:lang w:val="uk-UA"/>
        </w:rPr>
        <w:t>групі “Будь-який бедаквілін”</w:t>
      </w:r>
      <w:r w:rsidR="000F37B2" w:rsidRPr="002A4A76">
        <w:rPr>
          <w:rFonts w:ascii="Arial" w:hAnsi="Arial" w:cs="Arial"/>
          <w:color w:val="000000"/>
          <w:lang w:val="uk-UA"/>
        </w:rPr>
        <w:t xml:space="preserve">, </w:t>
      </w:r>
      <w:r w:rsidRPr="002A4A76">
        <w:rPr>
          <w:rFonts w:ascii="Arial" w:hAnsi="Arial" w:cs="Arial"/>
          <w:color w:val="000000"/>
          <w:lang w:val="uk-UA"/>
        </w:rPr>
        <w:t>б</w:t>
      </w:r>
      <w:r w:rsidR="00490E00">
        <w:rPr>
          <w:rFonts w:ascii="Arial" w:hAnsi="Arial" w:cs="Arial"/>
          <w:color w:val="000000"/>
          <w:lang w:val="uk-UA"/>
        </w:rPr>
        <w:t>ільшість пацієнтів мали показник QTcF вищий за</w:t>
      </w:r>
      <w:r w:rsidRPr="002A4A76">
        <w:rPr>
          <w:rFonts w:ascii="Arial" w:hAnsi="Arial" w:cs="Arial"/>
          <w:color w:val="000000"/>
          <w:lang w:val="uk-UA"/>
        </w:rPr>
        <w:t xml:space="preserve"> 450 мс (26,6% у порівнянні з 8,6%) та у більшості пацієнтів QTcF збільшився &gt; 60 мс від контрольних значень (9,1% проти 2,5%).</w:t>
      </w:r>
      <w:r>
        <w:rPr>
          <w:rFonts w:ascii="Arial" w:hAnsi="Arial" w:cs="Arial"/>
          <w:color w:val="000000"/>
          <w:lang w:val="uk-UA"/>
        </w:rPr>
        <w:t xml:space="preserve"> </w:t>
      </w:r>
      <w:r w:rsidRPr="00702968">
        <w:rPr>
          <w:rFonts w:ascii="Arial" w:hAnsi="Arial" w:cs="Arial"/>
          <w:color w:val="000000"/>
          <w:lang w:val="uk-UA"/>
        </w:rPr>
        <w:t xml:space="preserve">Не було повідомлень про </w:t>
      </w:r>
      <w:r w:rsidR="00301482">
        <w:rPr>
          <w:rFonts w:ascii="Arial" w:hAnsi="Arial" w:cs="Arial"/>
          <w:color w:val="000000"/>
          <w:lang w:val="uk-UA"/>
        </w:rPr>
        <w:t>піруетну тахікардію</w:t>
      </w:r>
      <w:r w:rsidRPr="00702968">
        <w:rPr>
          <w:rFonts w:ascii="Arial" w:hAnsi="Arial" w:cs="Arial"/>
          <w:color w:val="000000"/>
          <w:lang w:val="uk-UA"/>
        </w:rPr>
        <w:t xml:space="preserve"> </w:t>
      </w:r>
      <w:r w:rsidR="00301482">
        <w:rPr>
          <w:rFonts w:ascii="Arial" w:hAnsi="Arial" w:cs="Arial"/>
          <w:color w:val="000000"/>
          <w:lang w:val="uk-UA"/>
        </w:rPr>
        <w:t>(</w:t>
      </w:r>
      <w:r w:rsidRPr="00702968">
        <w:rPr>
          <w:rFonts w:ascii="Arial" w:hAnsi="Arial" w:cs="Arial"/>
          <w:color w:val="000000"/>
          <w:lang w:val="uk-UA"/>
        </w:rPr>
        <w:t>Torsade de Pointes</w:t>
      </w:r>
      <w:r w:rsidR="00301482">
        <w:rPr>
          <w:rFonts w:ascii="Arial" w:hAnsi="Arial" w:cs="Arial"/>
          <w:color w:val="000000"/>
          <w:lang w:val="uk-UA"/>
        </w:rPr>
        <w:t xml:space="preserve">), і не було зареєстровано випадків </w:t>
      </w:r>
      <w:r w:rsidRPr="00702968">
        <w:rPr>
          <w:rFonts w:ascii="Arial" w:hAnsi="Arial" w:cs="Arial"/>
          <w:color w:val="000000"/>
          <w:lang w:val="uk-UA"/>
        </w:rPr>
        <w:t xml:space="preserve">раптової смерті. </w:t>
      </w:r>
      <w:r w:rsidR="00490E00">
        <w:rPr>
          <w:rFonts w:ascii="Arial" w:hAnsi="Arial" w:cs="Arial"/>
          <w:color w:val="000000"/>
          <w:lang w:val="uk-UA"/>
        </w:rPr>
        <w:t>Б</w:t>
      </w:r>
      <w:r w:rsidR="00490E00" w:rsidRPr="00490E00">
        <w:rPr>
          <w:rFonts w:ascii="Arial" w:hAnsi="Arial" w:cs="Arial"/>
          <w:color w:val="000000"/>
          <w:lang w:val="uk-UA"/>
        </w:rPr>
        <w:t xml:space="preserve">агаторазовий прийом </w:t>
      </w:r>
      <w:r w:rsidR="00490E00">
        <w:rPr>
          <w:rFonts w:ascii="Arial" w:hAnsi="Arial" w:cs="Arial"/>
          <w:color w:val="000000"/>
          <w:lang w:val="uk-UA"/>
        </w:rPr>
        <w:t>б</w:t>
      </w:r>
      <w:r w:rsidRPr="00702968">
        <w:rPr>
          <w:rFonts w:ascii="Arial" w:hAnsi="Arial" w:cs="Arial"/>
          <w:color w:val="000000"/>
          <w:lang w:val="uk-UA"/>
        </w:rPr>
        <w:t>едаквілін</w:t>
      </w:r>
      <w:r w:rsidR="00490E00">
        <w:rPr>
          <w:rFonts w:ascii="Arial" w:hAnsi="Arial" w:cs="Arial"/>
          <w:color w:val="000000"/>
          <w:lang w:val="uk-UA"/>
        </w:rPr>
        <w:t>у</w:t>
      </w:r>
      <w:r w:rsidRPr="00702968">
        <w:rPr>
          <w:rFonts w:ascii="Arial" w:hAnsi="Arial" w:cs="Arial"/>
          <w:color w:val="000000"/>
          <w:lang w:val="uk-UA"/>
        </w:rPr>
        <w:t xml:space="preserve"> </w:t>
      </w:r>
      <w:r w:rsidR="00301482">
        <w:rPr>
          <w:rFonts w:ascii="Arial" w:hAnsi="Arial" w:cs="Arial"/>
          <w:color w:val="000000"/>
          <w:lang w:val="uk-UA"/>
        </w:rPr>
        <w:t xml:space="preserve">може подовжувати </w:t>
      </w:r>
      <w:r w:rsidR="00490E00">
        <w:rPr>
          <w:rFonts w:ascii="Arial" w:hAnsi="Arial" w:cs="Arial"/>
          <w:color w:val="000000"/>
          <w:lang w:val="uk-UA"/>
        </w:rPr>
        <w:t>інтервал QT, і ризик</w:t>
      </w:r>
      <w:r w:rsidRPr="00702968">
        <w:rPr>
          <w:rFonts w:ascii="Arial" w:hAnsi="Arial" w:cs="Arial"/>
          <w:color w:val="000000"/>
          <w:lang w:val="uk-UA"/>
        </w:rPr>
        <w:t xml:space="preserve"> </w:t>
      </w:r>
      <w:r w:rsidR="00490E00">
        <w:rPr>
          <w:rFonts w:ascii="Arial" w:hAnsi="Arial" w:cs="Arial"/>
          <w:color w:val="000000"/>
          <w:lang w:val="uk-UA"/>
        </w:rPr>
        <w:t xml:space="preserve">розвитку цієї ПР </w:t>
      </w:r>
      <w:r w:rsidRPr="00702968">
        <w:rPr>
          <w:rFonts w:ascii="Arial" w:hAnsi="Arial" w:cs="Arial"/>
          <w:color w:val="000000"/>
          <w:lang w:val="uk-UA"/>
        </w:rPr>
        <w:t xml:space="preserve">є </w:t>
      </w:r>
      <w:r w:rsidR="00490E00">
        <w:rPr>
          <w:rFonts w:ascii="Arial" w:hAnsi="Arial" w:cs="Arial"/>
          <w:color w:val="000000"/>
          <w:lang w:val="uk-UA"/>
        </w:rPr>
        <w:t xml:space="preserve">найвищим протягом фази лікування, але також може проявлятися і </w:t>
      </w:r>
      <w:r w:rsidR="00CA13CC">
        <w:rPr>
          <w:rFonts w:ascii="Arial" w:hAnsi="Arial" w:cs="Arial"/>
          <w:color w:val="000000"/>
          <w:lang w:val="uk-UA"/>
        </w:rPr>
        <w:t>після</w:t>
      </w:r>
      <w:r w:rsidR="00490E00">
        <w:rPr>
          <w:rFonts w:ascii="Arial" w:hAnsi="Arial" w:cs="Arial"/>
          <w:color w:val="000000"/>
          <w:lang w:val="uk-UA"/>
        </w:rPr>
        <w:t xml:space="preserve"> </w:t>
      </w:r>
      <w:r w:rsidRPr="00702968">
        <w:rPr>
          <w:rFonts w:ascii="Arial" w:hAnsi="Arial" w:cs="Arial"/>
          <w:color w:val="000000"/>
          <w:lang w:val="uk-UA"/>
        </w:rPr>
        <w:t>лікування.</w:t>
      </w:r>
      <w:r>
        <w:rPr>
          <w:rFonts w:ascii="Arial" w:hAnsi="Arial" w:cs="Arial"/>
          <w:color w:val="000000"/>
          <w:lang w:val="uk-UA"/>
        </w:rPr>
        <w:t xml:space="preserve"> </w:t>
      </w:r>
      <w:r w:rsidR="007D3500" w:rsidRPr="00132D68">
        <w:rPr>
          <w:rFonts w:ascii="Arial" w:hAnsi="Arial" w:cs="Arial"/>
          <w:color w:val="000000"/>
          <w:lang w:val="uk-UA"/>
        </w:rPr>
        <w:t>Застосування</w:t>
      </w:r>
      <w:r w:rsidRPr="00132D68">
        <w:rPr>
          <w:rFonts w:ascii="Arial" w:hAnsi="Arial" w:cs="Arial"/>
          <w:color w:val="000000"/>
          <w:lang w:val="uk-UA"/>
        </w:rPr>
        <w:t xml:space="preserve"> бедаквіліну з препаратами, що подовжують </w:t>
      </w:r>
      <w:r w:rsidR="00490E00" w:rsidRPr="00132D68">
        <w:rPr>
          <w:rFonts w:ascii="Arial" w:hAnsi="Arial" w:cs="Arial"/>
          <w:color w:val="000000"/>
          <w:lang w:val="uk-UA"/>
        </w:rPr>
        <w:t xml:space="preserve">інтервал </w:t>
      </w:r>
      <w:r w:rsidRPr="00132D68">
        <w:rPr>
          <w:rFonts w:ascii="Arial" w:hAnsi="Arial" w:cs="Arial"/>
          <w:color w:val="000000"/>
          <w:lang w:val="uk-UA"/>
        </w:rPr>
        <w:t xml:space="preserve">QT, збільшує ризик </w:t>
      </w:r>
      <w:r w:rsidR="00490E00" w:rsidRPr="00132D68">
        <w:rPr>
          <w:rFonts w:ascii="Arial" w:hAnsi="Arial" w:cs="Arial"/>
          <w:color w:val="000000"/>
          <w:lang w:val="uk-UA"/>
        </w:rPr>
        <w:t>розвитку цієї ПР</w:t>
      </w:r>
      <w:r w:rsidR="0021268F" w:rsidRPr="00132D68">
        <w:rPr>
          <w:rFonts w:ascii="Arial" w:hAnsi="Arial" w:cs="Arial"/>
          <w:color w:val="000000"/>
          <w:lang w:val="uk-UA"/>
        </w:rPr>
        <w:t>, тобто подія подовження</w:t>
      </w:r>
      <w:r w:rsidRPr="00132D68">
        <w:rPr>
          <w:rFonts w:ascii="Arial" w:hAnsi="Arial" w:cs="Arial"/>
          <w:color w:val="000000"/>
          <w:lang w:val="uk-UA"/>
        </w:rPr>
        <w:t xml:space="preserve"> інтервала QTcF внаслідок прийому багатьох препаратів, що </w:t>
      </w:r>
      <w:r w:rsidR="0021268F" w:rsidRPr="00132D68">
        <w:rPr>
          <w:rFonts w:ascii="Arial" w:hAnsi="Arial" w:cs="Arial"/>
          <w:color w:val="000000"/>
          <w:lang w:val="uk-UA"/>
        </w:rPr>
        <w:t>сприяють подовженню інтервалу QTcF, може бути викликана прийомом додаткового препарату</w:t>
      </w:r>
      <w:r w:rsidRPr="00132D68">
        <w:rPr>
          <w:rFonts w:ascii="Arial" w:hAnsi="Arial" w:cs="Arial"/>
          <w:color w:val="000000"/>
          <w:lang w:val="uk-UA"/>
        </w:rPr>
        <w:t xml:space="preserve"> (наприклад, клофазимін).</w:t>
      </w:r>
    </w:p>
    <w:p w14:paraId="7621AA1C" w14:textId="77777777" w:rsidR="00E568A1" w:rsidRPr="00A60AE1" w:rsidRDefault="00E568A1" w:rsidP="0037724F">
      <w:pPr>
        <w:autoSpaceDE w:val="0"/>
        <w:autoSpaceDN w:val="0"/>
        <w:adjustRightInd w:val="0"/>
        <w:spacing w:after="0" w:line="240" w:lineRule="auto"/>
        <w:jc w:val="both"/>
        <w:rPr>
          <w:rFonts w:ascii="Arial" w:hAnsi="Arial" w:cs="Arial"/>
          <w:color w:val="000000"/>
          <w:sz w:val="24"/>
          <w:szCs w:val="24"/>
        </w:rPr>
      </w:pPr>
      <w:r w:rsidRPr="00A60AE1">
        <w:rPr>
          <w:rFonts w:ascii="Arial" w:hAnsi="Arial" w:cs="Arial"/>
          <w:color w:val="000000"/>
          <w:sz w:val="24"/>
          <w:szCs w:val="24"/>
        </w:rPr>
        <w:t>_____________________________________</w:t>
      </w:r>
    </w:p>
    <w:p w14:paraId="0487DAE7" w14:textId="77777777" w:rsidR="00E568A1" w:rsidRPr="00CA13CC" w:rsidRDefault="00E568A1" w:rsidP="0037724F">
      <w:pPr>
        <w:autoSpaceDE w:val="0"/>
        <w:autoSpaceDN w:val="0"/>
        <w:adjustRightInd w:val="0"/>
        <w:spacing w:after="0" w:line="240" w:lineRule="auto"/>
        <w:jc w:val="both"/>
        <w:rPr>
          <w:rFonts w:ascii="Arial" w:hAnsi="Arial" w:cs="Arial"/>
          <w:color w:val="000000"/>
          <w:sz w:val="18"/>
          <w:szCs w:val="18"/>
        </w:rPr>
      </w:pPr>
      <w:r w:rsidRPr="008F5ADD">
        <w:rPr>
          <w:rFonts w:ascii="Arial" w:hAnsi="Arial" w:cs="Arial"/>
          <w:b/>
          <w:color w:val="000000"/>
          <w:sz w:val="20"/>
          <w:szCs w:val="20"/>
          <w:vertAlign w:val="superscript"/>
        </w:rPr>
        <w:t>17</w:t>
      </w:r>
      <w:r w:rsidRPr="00F8521E">
        <w:rPr>
          <w:rFonts w:ascii="Arial" w:hAnsi="Arial" w:cs="Arial"/>
          <w:color w:val="000000"/>
          <w:sz w:val="20"/>
          <w:szCs w:val="20"/>
        </w:rPr>
        <w:t xml:space="preserve"> </w:t>
      </w:r>
      <w:r w:rsidRPr="00CA13CC">
        <w:rPr>
          <w:rFonts w:ascii="Arial" w:hAnsi="Arial" w:cs="Arial"/>
          <w:color w:val="000000"/>
          <w:sz w:val="18"/>
          <w:szCs w:val="18"/>
          <w:lang w:val="en-US"/>
        </w:rPr>
        <w:t>QTcF</w:t>
      </w:r>
      <w:r w:rsidRPr="00CA13CC">
        <w:rPr>
          <w:rFonts w:ascii="Arial" w:hAnsi="Arial" w:cs="Arial"/>
          <w:color w:val="000000"/>
          <w:sz w:val="18"/>
          <w:szCs w:val="18"/>
        </w:rPr>
        <w:t xml:space="preserve">: </w:t>
      </w:r>
      <w:r w:rsidRPr="00CA13CC">
        <w:rPr>
          <w:rFonts w:ascii="Arial" w:hAnsi="Arial" w:cs="Arial"/>
          <w:color w:val="000000"/>
          <w:sz w:val="18"/>
          <w:szCs w:val="18"/>
          <w:lang w:val="en-US"/>
        </w:rPr>
        <w:t>QT</w:t>
      </w:r>
      <w:r w:rsidRPr="00CA13CC">
        <w:rPr>
          <w:rFonts w:ascii="Arial" w:hAnsi="Arial" w:cs="Arial"/>
          <w:color w:val="000000"/>
          <w:sz w:val="18"/>
          <w:szCs w:val="18"/>
        </w:rPr>
        <w:t xml:space="preserve">-інтервал </w:t>
      </w:r>
      <w:r w:rsidRPr="00CA13CC">
        <w:rPr>
          <w:rFonts w:ascii="Arial" w:hAnsi="Arial" w:cs="Arial"/>
          <w:color w:val="000000"/>
          <w:sz w:val="18"/>
          <w:szCs w:val="18"/>
          <w:lang w:val="uk-UA"/>
        </w:rPr>
        <w:t>с</w:t>
      </w:r>
      <w:r w:rsidRPr="00CA13CC">
        <w:rPr>
          <w:rFonts w:ascii="Arial" w:hAnsi="Arial" w:cs="Arial"/>
          <w:color w:val="000000"/>
          <w:sz w:val="18"/>
          <w:szCs w:val="18"/>
        </w:rPr>
        <w:t>корег</w:t>
      </w:r>
      <w:r w:rsidRPr="00CA13CC">
        <w:rPr>
          <w:rFonts w:ascii="Arial" w:hAnsi="Arial" w:cs="Arial"/>
          <w:color w:val="000000"/>
          <w:sz w:val="18"/>
          <w:szCs w:val="18"/>
          <w:lang w:val="uk-UA"/>
        </w:rPr>
        <w:t>ований</w:t>
      </w:r>
      <w:r w:rsidRPr="00CA13CC">
        <w:rPr>
          <w:rFonts w:ascii="Arial" w:hAnsi="Arial" w:cs="Arial"/>
          <w:color w:val="000000"/>
          <w:sz w:val="18"/>
          <w:szCs w:val="18"/>
        </w:rPr>
        <w:t xml:space="preserve"> для серцевого ритму </w:t>
      </w:r>
      <w:r w:rsidRPr="00CA13CC">
        <w:rPr>
          <w:rFonts w:ascii="Arial" w:hAnsi="Arial" w:cs="Arial"/>
          <w:color w:val="000000"/>
          <w:sz w:val="18"/>
          <w:szCs w:val="18"/>
          <w:lang w:val="uk-UA"/>
        </w:rPr>
        <w:t>по формулі Фрідеріка (</w:t>
      </w:r>
      <w:r w:rsidRPr="00CA13CC">
        <w:rPr>
          <w:rFonts w:ascii="Arial" w:hAnsi="Arial" w:cs="Arial"/>
          <w:color w:val="000000"/>
          <w:sz w:val="18"/>
          <w:szCs w:val="18"/>
          <w:lang w:val="en-US"/>
        </w:rPr>
        <w:t>Fridericia</w:t>
      </w:r>
      <w:r w:rsidRPr="00CA13CC">
        <w:rPr>
          <w:rFonts w:ascii="Arial" w:hAnsi="Arial" w:cs="Arial"/>
          <w:color w:val="000000"/>
          <w:sz w:val="18"/>
          <w:szCs w:val="18"/>
          <w:lang w:val="uk-UA"/>
        </w:rPr>
        <w:t>)</w:t>
      </w:r>
      <w:r w:rsidRPr="00CA13CC">
        <w:rPr>
          <w:rFonts w:ascii="Arial" w:hAnsi="Arial" w:cs="Arial"/>
          <w:color w:val="000000"/>
          <w:sz w:val="18"/>
          <w:szCs w:val="18"/>
        </w:rPr>
        <w:t>.</w:t>
      </w:r>
    </w:p>
    <w:p w14:paraId="6AE58497" w14:textId="77777777" w:rsidR="00E568A1" w:rsidRPr="00A60AE1" w:rsidRDefault="00E568A1" w:rsidP="0037724F">
      <w:pPr>
        <w:autoSpaceDE w:val="0"/>
        <w:autoSpaceDN w:val="0"/>
        <w:adjustRightInd w:val="0"/>
        <w:spacing w:after="0" w:line="240" w:lineRule="auto"/>
        <w:jc w:val="both"/>
        <w:rPr>
          <w:rFonts w:ascii="Arial" w:hAnsi="Arial" w:cs="Arial"/>
          <w:color w:val="FFFFFF"/>
        </w:rPr>
      </w:pPr>
      <w:r w:rsidRPr="00A60AE1">
        <w:rPr>
          <w:rFonts w:ascii="Arial" w:hAnsi="Arial" w:cs="Arial"/>
          <w:color w:val="FFFFFF"/>
        </w:rPr>
        <w:t>24</w:t>
      </w:r>
    </w:p>
    <w:p w14:paraId="021C894C" w14:textId="430C7C77" w:rsidR="00E568A1" w:rsidRDefault="00E568A1" w:rsidP="00F47873">
      <w:pPr>
        <w:autoSpaceDE w:val="0"/>
        <w:autoSpaceDN w:val="0"/>
        <w:adjustRightInd w:val="0"/>
        <w:spacing w:after="0" w:line="240" w:lineRule="auto"/>
        <w:jc w:val="center"/>
        <w:rPr>
          <w:rFonts w:ascii="Arial" w:hAnsi="Arial" w:cs="Arial"/>
          <w:b/>
          <w:bCs/>
          <w:color w:val="000000"/>
          <w:sz w:val="24"/>
          <w:szCs w:val="24"/>
          <w:lang w:val="uk-UA"/>
        </w:rPr>
      </w:pPr>
      <w:r>
        <w:rPr>
          <w:rFonts w:ascii="Arial" w:hAnsi="Arial" w:cs="Arial"/>
          <w:b/>
          <w:bCs/>
          <w:color w:val="000000"/>
          <w:sz w:val="24"/>
          <w:szCs w:val="24"/>
          <w:lang w:val="uk-UA"/>
        </w:rPr>
        <w:lastRenderedPageBreak/>
        <w:t xml:space="preserve">Таблиця 3.  </w:t>
      </w:r>
      <w:r w:rsidR="00EC490D">
        <w:rPr>
          <w:rFonts w:ascii="Arial" w:hAnsi="Arial" w:cs="Arial"/>
          <w:b/>
          <w:bCs/>
          <w:color w:val="000000"/>
          <w:sz w:val="24"/>
          <w:szCs w:val="24"/>
          <w:lang w:val="uk-UA"/>
        </w:rPr>
        <w:t>Дані щодо п</w:t>
      </w:r>
      <w:r w:rsidR="0021268F">
        <w:rPr>
          <w:rFonts w:ascii="Arial" w:hAnsi="Arial" w:cs="Arial"/>
          <w:b/>
          <w:bCs/>
          <w:color w:val="000000"/>
          <w:sz w:val="24"/>
          <w:szCs w:val="24"/>
          <w:lang w:val="uk-UA"/>
        </w:rPr>
        <w:t>одовження</w:t>
      </w:r>
      <w:r w:rsidR="00F47873">
        <w:rPr>
          <w:rFonts w:ascii="Arial" w:hAnsi="Arial" w:cs="Arial"/>
          <w:b/>
          <w:bCs/>
          <w:color w:val="000000"/>
          <w:sz w:val="24"/>
          <w:szCs w:val="24"/>
          <w:lang w:val="uk-UA"/>
        </w:rPr>
        <w:t xml:space="preserve"> інтервалу </w:t>
      </w:r>
      <w:r w:rsidR="00713753">
        <w:rPr>
          <w:rFonts w:ascii="Arial" w:hAnsi="Arial" w:cs="Arial"/>
          <w:b/>
          <w:bCs/>
          <w:color w:val="000000"/>
          <w:sz w:val="24"/>
          <w:szCs w:val="24"/>
          <w:lang w:val="uk-UA"/>
        </w:rPr>
        <w:t xml:space="preserve">QT </w:t>
      </w:r>
      <w:r w:rsidRPr="000E1D17">
        <w:rPr>
          <w:rFonts w:ascii="Arial" w:hAnsi="Arial" w:cs="Arial"/>
          <w:b/>
          <w:bCs/>
          <w:color w:val="000000"/>
          <w:sz w:val="24"/>
          <w:szCs w:val="24"/>
          <w:lang w:val="uk-UA"/>
        </w:rPr>
        <w:t>протягом лікування</w:t>
      </w:r>
      <w:r w:rsidR="00D168F9">
        <w:rPr>
          <w:rFonts w:ascii="Arial" w:hAnsi="Arial" w:cs="Arial"/>
          <w:b/>
          <w:bCs/>
          <w:color w:val="000000"/>
          <w:sz w:val="24"/>
          <w:szCs w:val="24"/>
          <w:lang w:val="uk-UA"/>
        </w:rPr>
        <w:t xml:space="preserve"> </w:t>
      </w:r>
      <w:r w:rsidR="007A2201" w:rsidRPr="0049408A">
        <w:rPr>
          <w:rFonts w:ascii="Arial" w:hAnsi="Arial" w:cs="Arial"/>
          <w:b/>
          <w:bCs/>
          <w:color w:val="000000"/>
          <w:sz w:val="24"/>
          <w:szCs w:val="24"/>
          <w:highlight w:val="yellow"/>
          <w:lang w:val="uk-UA"/>
        </w:rPr>
        <w:t xml:space="preserve">у </w:t>
      </w:r>
      <w:r w:rsidR="000326B3">
        <w:rPr>
          <w:rFonts w:ascii="Arial" w:hAnsi="Arial" w:cs="Arial"/>
          <w:b/>
          <w:bCs/>
          <w:color w:val="000000"/>
          <w:sz w:val="24"/>
          <w:szCs w:val="24"/>
          <w:highlight w:val="yellow"/>
          <w:lang w:val="uk-UA"/>
        </w:rPr>
        <w:t>порівнянні з</w:t>
      </w:r>
      <w:r w:rsidR="00EC490D" w:rsidRPr="0049408A">
        <w:rPr>
          <w:rFonts w:ascii="Arial" w:hAnsi="Arial" w:cs="Arial"/>
          <w:b/>
          <w:bCs/>
          <w:color w:val="000000"/>
          <w:sz w:val="24"/>
          <w:szCs w:val="24"/>
          <w:highlight w:val="yellow"/>
          <w:lang w:val="uk-UA"/>
        </w:rPr>
        <w:t xml:space="preserve"> </w:t>
      </w:r>
      <w:r w:rsidR="000326B3">
        <w:rPr>
          <w:rFonts w:ascii="Arial" w:hAnsi="Arial" w:cs="Arial"/>
          <w:b/>
          <w:bCs/>
          <w:color w:val="000000"/>
          <w:sz w:val="24"/>
          <w:szCs w:val="24"/>
          <w:highlight w:val="yellow"/>
          <w:lang w:val="uk-UA"/>
        </w:rPr>
        <w:t>“найгіршим</w:t>
      </w:r>
      <w:r w:rsidR="00CD3DAD" w:rsidRPr="0049408A">
        <w:rPr>
          <w:rFonts w:ascii="Arial" w:hAnsi="Arial" w:cs="Arial"/>
          <w:b/>
          <w:bCs/>
          <w:color w:val="000000"/>
          <w:sz w:val="24"/>
          <w:szCs w:val="24"/>
          <w:highlight w:val="yellow"/>
          <w:lang w:val="uk-UA"/>
        </w:rPr>
        <w:t xml:space="preserve">” </w:t>
      </w:r>
      <w:r w:rsidR="000326B3">
        <w:rPr>
          <w:rFonts w:ascii="Arial" w:hAnsi="Arial" w:cs="Arial"/>
          <w:b/>
          <w:bCs/>
          <w:color w:val="000000"/>
          <w:sz w:val="24"/>
          <w:szCs w:val="24"/>
          <w:highlight w:val="yellow"/>
          <w:lang w:val="uk-UA"/>
        </w:rPr>
        <w:t>інтервалом</w:t>
      </w:r>
      <w:r w:rsidRPr="0049408A">
        <w:rPr>
          <w:rFonts w:ascii="Arial" w:hAnsi="Arial" w:cs="Arial"/>
          <w:b/>
          <w:bCs/>
          <w:color w:val="000000"/>
          <w:sz w:val="24"/>
          <w:szCs w:val="24"/>
          <w:highlight w:val="yellow"/>
          <w:lang w:val="uk-UA"/>
        </w:rPr>
        <w:t xml:space="preserve"> </w:t>
      </w:r>
      <w:r w:rsidR="007A2201" w:rsidRPr="0049408A">
        <w:rPr>
          <w:rFonts w:ascii="Arial" w:hAnsi="Arial" w:cs="Arial"/>
          <w:b/>
          <w:bCs/>
          <w:color w:val="000000"/>
          <w:sz w:val="24"/>
          <w:szCs w:val="24"/>
          <w:highlight w:val="yellow"/>
          <w:lang w:val="uk-UA"/>
        </w:rPr>
        <w:t>QTcF</w:t>
      </w:r>
    </w:p>
    <w:p w14:paraId="1BCBE694" w14:textId="77777777" w:rsidR="00E568A1" w:rsidRPr="006E61B1" w:rsidRDefault="00E568A1" w:rsidP="0037724F">
      <w:pPr>
        <w:autoSpaceDE w:val="0"/>
        <w:autoSpaceDN w:val="0"/>
        <w:adjustRightInd w:val="0"/>
        <w:spacing w:after="0" w:line="240" w:lineRule="auto"/>
        <w:jc w:val="both"/>
        <w:rPr>
          <w:rFonts w:ascii="Arial" w:hAnsi="Arial" w:cs="Arial"/>
          <w:b/>
          <w:bCs/>
          <w:color w:val="00000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2880"/>
        <w:gridCol w:w="2890"/>
      </w:tblGrid>
      <w:tr w:rsidR="00E568A1" w:rsidRPr="008A3DBA" w14:paraId="2736C24D" w14:textId="77777777" w:rsidTr="00E221F6">
        <w:trPr>
          <w:trHeight w:val="435"/>
        </w:trPr>
        <w:tc>
          <w:tcPr>
            <w:tcW w:w="3675" w:type="dxa"/>
            <w:vMerge w:val="restart"/>
            <w:tcBorders>
              <w:top w:val="single" w:sz="12" w:space="0" w:color="FFFFFF"/>
            </w:tcBorders>
            <w:shd w:val="clear" w:color="auto" w:fill="920000"/>
          </w:tcPr>
          <w:p w14:paraId="7859778F"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uk-UA"/>
              </w:rPr>
            </w:pPr>
          </w:p>
          <w:p w14:paraId="1B4C97D8"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uk-UA"/>
              </w:rPr>
            </w:pPr>
            <w:r w:rsidRPr="00E221F6">
              <w:rPr>
                <w:rFonts w:ascii="Arial" w:hAnsi="Arial" w:cs="Arial"/>
                <w:b/>
                <w:bCs/>
                <w:color w:val="FFFFFF"/>
                <w:sz w:val="21"/>
                <w:szCs w:val="21"/>
                <w:lang w:val="uk-UA"/>
              </w:rPr>
              <w:t xml:space="preserve">Параметр ЕКГ, </w:t>
            </w:r>
          </w:p>
          <w:p w14:paraId="646A0CB6"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uk-UA"/>
              </w:rPr>
            </w:pPr>
            <w:r w:rsidRPr="00E221F6">
              <w:rPr>
                <w:rFonts w:ascii="Arial" w:hAnsi="Arial" w:cs="Arial"/>
                <w:b/>
                <w:bCs/>
                <w:color w:val="FFFFFF"/>
                <w:sz w:val="21"/>
                <w:szCs w:val="21"/>
                <w:lang w:val="uk-UA"/>
              </w:rPr>
              <w:t>аномалія</w:t>
            </w:r>
          </w:p>
          <w:p w14:paraId="53769AC0"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uk-UA"/>
              </w:rPr>
            </w:pPr>
          </w:p>
        </w:tc>
        <w:tc>
          <w:tcPr>
            <w:tcW w:w="5896" w:type="dxa"/>
            <w:gridSpan w:val="2"/>
            <w:tcBorders>
              <w:top w:val="single" w:sz="12" w:space="0" w:color="FFFFFF"/>
            </w:tcBorders>
            <w:shd w:val="clear" w:color="auto" w:fill="920000"/>
          </w:tcPr>
          <w:p w14:paraId="081BA287" w14:textId="5031660E" w:rsidR="00E568A1" w:rsidRPr="00E221F6" w:rsidRDefault="00CD3DAD" w:rsidP="00E221F6">
            <w:pPr>
              <w:autoSpaceDE w:val="0"/>
              <w:autoSpaceDN w:val="0"/>
              <w:adjustRightInd w:val="0"/>
              <w:spacing w:after="0" w:line="240" w:lineRule="auto"/>
              <w:jc w:val="center"/>
              <w:rPr>
                <w:rFonts w:ascii="Arial" w:hAnsi="Arial" w:cs="Arial"/>
                <w:b/>
                <w:bCs/>
                <w:color w:val="FFFFFF"/>
                <w:sz w:val="21"/>
                <w:szCs w:val="21"/>
                <w:lang w:val="uk-UA"/>
              </w:rPr>
            </w:pPr>
            <w:r>
              <w:rPr>
                <w:rFonts w:ascii="Arial" w:hAnsi="Arial" w:cs="Arial"/>
                <w:b/>
                <w:bCs/>
                <w:color w:val="FFFFFF"/>
                <w:sz w:val="21"/>
                <w:szCs w:val="21"/>
                <w:shd w:val="clear" w:color="auto" w:fill="920000"/>
                <w:lang w:val="uk-UA"/>
              </w:rPr>
              <w:t xml:space="preserve">Фаза дослідження </w:t>
            </w:r>
            <w:r w:rsidR="00E568A1" w:rsidRPr="00E221F6">
              <w:rPr>
                <w:rFonts w:ascii="Arial" w:hAnsi="Arial" w:cs="Arial"/>
                <w:b/>
                <w:bCs/>
                <w:color w:val="FFFFFF"/>
                <w:sz w:val="21"/>
                <w:szCs w:val="21"/>
                <w:shd w:val="clear" w:color="auto" w:fill="920000"/>
                <w:lang w:val="uk-UA"/>
              </w:rPr>
              <w:t>лікування</w:t>
            </w:r>
            <w:r w:rsidR="00E568A1" w:rsidRPr="00E221F6">
              <w:rPr>
                <w:rFonts w:ascii="Arial" w:hAnsi="Arial" w:cs="Arial"/>
                <w:b/>
                <w:bCs/>
                <w:color w:val="FFFFFF"/>
                <w:sz w:val="21"/>
                <w:szCs w:val="21"/>
                <w:lang w:val="uk-UA"/>
              </w:rPr>
              <w:t>:</w:t>
            </w:r>
            <w:r>
              <w:rPr>
                <w:rFonts w:ascii="Arial" w:hAnsi="Arial" w:cs="Arial"/>
                <w:b/>
                <w:bCs/>
                <w:color w:val="FFFFFF"/>
                <w:sz w:val="21"/>
                <w:szCs w:val="21"/>
                <w:lang w:val="uk-UA"/>
              </w:rPr>
              <w:t xml:space="preserve"> </w:t>
            </w:r>
            <w:r w:rsidR="00E568A1" w:rsidRPr="00E221F6">
              <w:rPr>
                <w:rFonts w:ascii="Arial" w:hAnsi="Arial" w:cs="Arial"/>
                <w:b/>
                <w:bCs/>
                <w:color w:val="FFFFFF"/>
                <w:sz w:val="21"/>
                <w:szCs w:val="21"/>
                <w:lang w:val="uk-UA"/>
              </w:rPr>
              <w:t xml:space="preserve"> об'єднані контрольні дослідження</w:t>
            </w:r>
          </w:p>
        </w:tc>
      </w:tr>
      <w:tr w:rsidR="00E568A1" w:rsidRPr="008A3DBA" w14:paraId="4B1000D2" w14:textId="77777777" w:rsidTr="00E221F6">
        <w:trPr>
          <w:trHeight w:val="405"/>
        </w:trPr>
        <w:tc>
          <w:tcPr>
            <w:tcW w:w="3675" w:type="dxa"/>
            <w:vMerge/>
            <w:tcBorders>
              <w:bottom w:val="single" w:sz="12" w:space="0" w:color="FFFFFF"/>
            </w:tcBorders>
            <w:shd w:val="clear" w:color="auto" w:fill="920000"/>
          </w:tcPr>
          <w:p w14:paraId="7AC8D2B8"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uk-UA"/>
              </w:rPr>
            </w:pPr>
          </w:p>
        </w:tc>
        <w:tc>
          <w:tcPr>
            <w:tcW w:w="2940" w:type="dxa"/>
            <w:tcBorders>
              <w:top w:val="single" w:sz="12" w:space="0" w:color="FFFFFF"/>
              <w:bottom w:val="single" w:sz="12" w:space="0" w:color="FFFFFF"/>
            </w:tcBorders>
            <w:shd w:val="clear" w:color="auto" w:fill="E37386"/>
          </w:tcPr>
          <w:p w14:paraId="0548D961"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Бедаквілін (загалом)</w:t>
            </w:r>
          </w:p>
          <w:p w14:paraId="56C80D84"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en-US"/>
              </w:rPr>
              <w:t>N %</w:t>
            </w:r>
          </w:p>
        </w:tc>
        <w:tc>
          <w:tcPr>
            <w:tcW w:w="2956" w:type="dxa"/>
            <w:tcBorders>
              <w:top w:val="single" w:sz="12" w:space="0" w:color="FFFFFF"/>
              <w:bottom w:val="single" w:sz="12" w:space="0" w:color="FFFFFF"/>
            </w:tcBorders>
            <w:shd w:val="clear" w:color="auto" w:fill="E37386"/>
          </w:tcPr>
          <w:p w14:paraId="53BB7265"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r w:rsidRPr="00E221F6">
              <w:rPr>
                <w:rFonts w:ascii="Arial" w:hAnsi="Arial" w:cs="Arial"/>
                <w:b/>
                <w:bCs/>
                <w:color w:val="FFFFFF"/>
                <w:sz w:val="21"/>
                <w:szCs w:val="21"/>
                <w:lang w:val="uk-UA"/>
              </w:rPr>
              <w:t>Плацебо (загалом)</w:t>
            </w:r>
          </w:p>
          <w:p w14:paraId="592066AE"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en-US"/>
              </w:rPr>
              <w:t>N %</w:t>
            </w:r>
          </w:p>
        </w:tc>
      </w:tr>
      <w:tr w:rsidR="00E568A1" w:rsidRPr="008A3DBA" w14:paraId="5ACACE76" w14:textId="77777777" w:rsidTr="00E221F6">
        <w:trPr>
          <w:trHeight w:val="405"/>
        </w:trPr>
        <w:tc>
          <w:tcPr>
            <w:tcW w:w="3675" w:type="dxa"/>
            <w:tcBorders>
              <w:top w:val="single" w:sz="12" w:space="0" w:color="FFFFFF"/>
              <w:left w:val="nil"/>
              <w:bottom w:val="single" w:sz="12" w:space="0" w:color="FFFFFF"/>
              <w:right w:val="nil"/>
            </w:tcBorders>
            <w:shd w:val="clear" w:color="auto" w:fill="FDEDED"/>
          </w:tcPr>
          <w:p w14:paraId="3FFC4970" w14:textId="77777777" w:rsidR="00E568A1" w:rsidRPr="00713994" w:rsidRDefault="00E568A1" w:rsidP="00E221F6">
            <w:pPr>
              <w:autoSpaceDE w:val="0"/>
              <w:autoSpaceDN w:val="0"/>
              <w:adjustRightInd w:val="0"/>
              <w:spacing w:after="0" w:line="240" w:lineRule="auto"/>
              <w:jc w:val="both"/>
              <w:rPr>
                <w:rFonts w:ascii="Arial" w:hAnsi="Arial" w:cs="Arial"/>
                <w:color w:val="000000"/>
                <w:sz w:val="16"/>
                <w:szCs w:val="16"/>
                <w:lang w:val="en-US"/>
              </w:rPr>
            </w:pPr>
          </w:p>
          <w:p w14:paraId="4C9A1CA9" w14:textId="06C0DB85" w:rsidR="00E568A1" w:rsidRPr="00713994" w:rsidRDefault="00E568A1" w:rsidP="00E221F6">
            <w:pPr>
              <w:autoSpaceDE w:val="0"/>
              <w:autoSpaceDN w:val="0"/>
              <w:adjustRightInd w:val="0"/>
              <w:spacing w:after="0" w:line="240" w:lineRule="auto"/>
              <w:jc w:val="both"/>
              <w:rPr>
                <w:rFonts w:ascii="Arial" w:hAnsi="Arial" w:cs="Arial"/>
                <w:color w:val="000000"/>
                <w:sz w:val="20"/>
                <w:szCs w:val="20"/>
                <w:lang w:val="en-US"/>
              </w:rPr>
            </w:pPr>
            <w:r w:rsidRPr="00E221F6">
              <w:rPr>
                <w:rFonts w:ascii="Arial" w:hAnsi="Arial" w:cs="Arial"/>
                <w:color w:val="000000"/>
                <w:sz w:val="20"/>
                <w:szCs w:val="20"/>
                <w:lang w:val="en-US"/>
              </w:rPr>
              <w:t>QTcF</w:t>
            </w:r>
            <w:r w:rsidRPr="00713994">
              <w:rPr>
                <w:rFonts w:ascii="Arial" w:hAnsi="Arial" w:cs="Arial"/>
                <w:color w:val="000000"/>
                <w:sz w:val="20"/>
                <w:szCs w:val="20"/>
                <w:lang w:val="en-US"/>
              </w:rPr>
              <w:t xml:space="preserve"> </w:t>
            </w:r>
            <w:r w:rsidRPr="00E221F6">
              <w:rPr>
                <w:rFonts w:ascii="Arial" w:hAnsi="Arial" w:cs="Arial"/>
                <w:color w:val="000000"/>
                <w:sz w:val="20"/>
                <w:szCs w:val="20"/>
                <w:lang w:val="en-US"/>
              </w:rPr>
              <w:t>calc</w:t>
            </w:r>
            <w:r w:rsidRPr="00713994">
              <w:rPr>
                <w:rFonts w:ascii="Arial" w:hAnsi="Arial" w:cs="Arial"/>
                <w:color w:val="000000"/>
                <w:sz w:val="20"/>
                <w:szCs w:val="20"/>
                <w:lang w:val="en-US"/>
              </w:rPr>
              <w:t xml:space="preserve"> (</w:t>
            </w:r>
            <w:r w:rsidR="00CD3DAD" w:rsidRPr="00A81BDF">
              <w:rPr>
                <w:rFonts w:ascii="Arial" w:hAnsi="Arial" w:cs="Arial"/>
                <w:color w:val="000000"/>
                <w:sz w:val="20"/>
                <w:szCs w:val="20"/>
              </w:rPr>
              <w:t>мс</w:t>
            </w:r>
            <w:r w:rsidRPr="00713994">
              <w:rPr>
                <w:rFonts w:ascii="Arial" w:hAnsi="Arial" w:cs="Arial"/>
                <w:color w:val="000000"/>
                <w:sz w:val="20"/>
                <w:szCs w:val="20"/>
                <w:lang w:val="en-US"/>
              </w:rPr>
              <w:t>)</w:t>
            </w:r>
          </w:p>
          <w:p w14:paraId="4F4A6A77" w14:textId="2249E13D" w:rsidR="00E568A1" w:rsidRPr="00713994" w:rsidRDefault="00E568A1" w:rsidP="00E221F6">
            <w:pPr>
              <w:autoSpaceDE w:val="0"/>
              <w:autoSpaceDN w:val="0"/>
              <w:adjustRightInd w:val="0"/>
              <w:spacing w:after="0" w:line="240" w:lineRule="auto"/>
              <w:jc w:val="both"/>
              <w:rPr>
                <w:rFonts w:ascii="Arial" w:hAnsi="Arial" w:cs="Arial"/>
                <w:color w:val="000000"/>
                <w:sz w:val="20"/>
                <w:szCs w:val="20"/>
                <w:lang w:val="en-US"/>
              </w:rPr>
            </w:pPr>
            <w:r w:rsidRPr="00713994">
              <w:rPr>
                <w:rFonts w:ascii="Arial" w:hAnsi="Arial" w:cs="Arial"/>
                <w:color w:val="000000"/>
                <w:sz w:val="20"/>
                <w:szCs w:val="20"/>
                <w:lang w:val="en-US"/>
              </w:rPr>
              <w:t xml:space="preserve">450 </w:t>
            </w:r>
            <w:r w:rsidRPr="00E221F6">
              <w:rPr>
                <w:rFonts w:ascii="Arial" w:hAnsi="Arial" w:cs="Arial"/>
                <w:color w:val="000000"/>
                <w:sz w:val="20"/>
                <w:szCs w:val="20"/>
                <w:lang w:val="en-US"/>
              </w:rPr>
              <w:t>ms</w:t>
            </w:r>
            <w:r w:rsidRPr="00713994">
              <w:rPr>
                <w:rFonts w:ascii="Arial" w:hAnsi="Arial" w:cs="Arial"/>
                <w:color w:val="000000"/>
                <w:sz w:val="20"/>
                <w:szCs w:val="20"/>
                <w:lang w:val="en-US"/>
              </w:rPr>
              <w:t xml:space="preserve"> – ≤480 </w:t>
            </w:r>
            <w:r w:rsidR="00CD3DAD" w:rsidRPr="00A81BDF">
              <w:rPr>
                <w:rFonts w:ascii="Arial" w:hAnsi="Arial" w:cs="Arial"/>
                <w:color w:val="000000"/>
                <w:sz w:val="20"/>
                <w:szCs w:val="20"/>
              </w:rPr>
              <w:t>мс</w:t>
            </w:r>
          </w:p>
          <w:p w14:paraId="74E346B9" w14:textId="1502D567" w:rsidR="00E568A1" w:rsidRPr="00713994" w:rsidRDefault="00E568A1" w:rsidP="00E221F6">
            <w:pPr>
              <w:autoSpaceDE w:val="0"/>
              <w:autoSpaceDN w:val="0"/>
              <w:adjustRightInd w:val="0"/>
              <w:spacing w:after="0" w:line="240" w:lineRule="auto"/>
              <w:jc w:val="both"/>
              <w:rPr>
                <w:rFonts w:ascii="Arial" w:hAnsi="Arial" w:cs="Arial"/>
                <w:color w:val="000000"/>
                <w:sz w:val="20"/>
                <w:szCs w:val="20"/>
                <w:lang w:val="en-US"/>
              </w:rPr>
            </w:pPr>
            <w:r w:rsidRPr="00713994">
              <w:rPr>
                <w:rFonts w:ascii="Arial" w:hAnsi="Arial" w:cs="Arial"/>
                <w:color w:val="000000"/>
                <w:sz w:val="20"/>
                <w:szCs w:val="20"/>
                <w:lang w:val="en-US"/>
              </w:rPr>
              <w:t xml:space="preserve">480 </w:t>
            </w:r>
            <w:r w:rsidRPr="00E221F6">
              <w:rPr>
                <w:rFonts w:ascii="Arial" w:hAnsi="Arial" w:cs="Arial"/>
                <w:color w:val="000000"/>
                <w:sz w:val="20"/>
                <w:szCs w:val="20"/>
                <w:lang w:val="en-US"/>
              </w:rPr>
              <w:t>ms</w:t>
            </w:r>
            <w:r w:rsidRPr="00713994">
              <w:rPr>
                <w:rFonts w:ascii="Arial" w:hAnsi="Arial" w:cs="Arial"/>
                <w:color w:val="000000"/>
                <w:sz w:val="20"/>
                <w:szCs w:val="20"/>
                <w:lang w:val="en-US"/>
              </w:rPr>
              <w:t xml:space="preserve"> – ≤500 </w:t>
            </w:r>
            <w:r w:rsidR="00CD3DAD" w:rsidRPr="00A81BDF">
              <w:rPr>
                <w:rFonts w:ascii="Arial" w:hAnsi="Arial" w:cs="Arial"/>
                <w:color w:val="000000"/>
                <w:sz w:val="20"/>
                <w:szCs w:val="20"/>
              </w:rPr>
              <w:t>мс</w:t>
            </w:r>
          </w:p>
          <w:p w14:paraId="4E1D0BD6" w14:textId="6573F698" w:rsidR="00E568A1" w:rsidRPr="00E221F6" w:rsidRDefault="00E568A1" w:rsidP="00E221F6">
            <w:pPr>
              <w:autoSpaceDE w:val="0"/>
              <w:autoSpaceDN w:val="0"/>
              <w:adjustRightInd w:val="0"/>
              <w:spacing w:after="0" w:line="240" w:lineRule="auto"/>
              <w:jc w:val="both"/>
              <w:rPr>
                <w:rFonts w:ascii="Arial" w:hAnsi="Arial" w:cs="Arial"/>
                <w:color w:val="000000"/>
                <w:sz w:val="20"/>
                <w:szCs w:val="20"/>
                <w:lang w:val="en-US"/>
              </w:rPr>
            </w:pPr>
            <w:r w:rsidRPr="00E221F6">
              <w:rPr>
                <w:rFonts w:ascii="Arial" w:hAnsi="Arial" w:cs="Arial"/>
                <w:color w:val="000000"/>
                <w:sz w:val="20"/>
                <w:szCs w:val="20"/>
                <w:lang w:val="uk-UA"/>
              </w:rPr>
              <w:t>Більше ніж</w:t>
            </w:r>
            <w:r w:rsidRPr="00E221F6">
              <w:rPr>
                <w:rFonts w:ascii="Arial" w:hAnsi="Arial" w:cs="Arial"/>
                <w:color w:val="000000"/>
                <w:sz w:val="20"/>
                <w:szCs w:val="20"/>
                <w:lang w:val="en-US"/>
              </w:rPr>
              <w:t xml:space="preserve"> 500 </w:t>
            </w:r>
            <w:r w:rsidR="00CD3DAD" w:rsidRPr="00A81BDF">
              <w:rPr>
                <w:rFonts w:ascii="Arial" w:hAnsi="Arial" w:cs="Arial"/>
                <w:color w:val="000000"/>
                <w:sz w:val="20"/>
                <w:szCs w:val="20"/>
              </w:rPr>
              <w:t>мс</w:t>
            </w:r>
          </w:p>
          <w:p w14:paraId="4B5BE87C" w14:textId="77777777" w:rsidR="00E568A1" w:rsidRPr="00D168F9" w:rsidRDefault="00E568A1" w:rsidP="00E221F6">
            <w:pPr>
              <w:autoSpaceDE w:val="0"/>
              <w:autoSpaceDN w:val="0"/>
              <w:adjustRightInd w:val="0"/>
              <w:spacing w:after="0" w:line="240" w:lineRule="auto"/>
              <w:jc w:val="both"/>
              <w:rPr>
                <w:rFonts w:ascii="Arial" w:hAnsi="Arial" w:cs="Arial"/>
                <w:bCs/>
                <w:color w:val="000000"/>
                <w:sz w:val="16"/>
                <w:szCs w:val="16"/>
                <w:lang w:val="uk-UA"/>
              </w:rPr>
            </w:pPr>
          </w:p>
        </w:tc>
        <w:tc>
          <w:tcPr>
            <w:tcW w:w="2940" w:type="dxa"/>
            <w:tcBorders>
              <w:top w:val="single" w:sz="12" w:space="0" w:color="FFFFFF"/>
              <w:left w:val="nil"/>
              <w:bottom w:val="single" w:sz="12" w:space="0" w:color="FFFFFF"/>
              <w:right w:val="nil"/>
            </w:tcBorders>
            <w:shd w:val="clear" w:color="auto" w:fill="FDEDED"/>
          </w:tcPr>
          <w:p w14:paraId="1FF2AB6D"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p w14:paraId="3BA727ED"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102</w:t>
            </w:r>
          </w:p>
          <w:p w14:paraId="16B372D6"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23 (22.5)</w:t>
            </w:r>
          </w:p>
          <w:p w14:paraId="7D493702"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3 (2.9)</w:t>
            </w:r>
          </w:p>
          <w:p w14:paraId="7CD03B90"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 (1.0)</w:t>
            </w:r>
          </w:p>
          <w:p w14:paraId="5B89FC9F" w14:textId="77777777" w:rsidR="00E568A1" w:rsidRPr="00D168F9"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tc>
        <w:tc>
          <w:tcPr>
            <w:tcW w:w="2956" w:type="dxa"/>
            <w:tcBorders>
              <w:top w:val="single" w:sz="12" w:space="0" w:color="FFFFFF"/>
              <w:left w:val="nil"/>
              <w:bottom w:val="single" w:sz="12" w:space="0" w:color="FFFFFF"/>
              <w:right w:val="nil"/>
            </w:tcBorders>
            <w:shd w:val="clear" w:color="auto" w:fill="FDEDED"/>
          </w:tcPr>
          <w:p w14:paraId="57AD3C99" w14:textId="77777777" w:rsidR="00E568A1" w:rsidRPr="00E221F6"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p w14:paraId="2BFA9572"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105</w:t>
            </w:r>
          </w:p>
          <w:p w14:paraId="4744046A"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7 (6.7)</w:t>
            </w:r>
          </w:p>
          <w:p w14:paraId="176A33B9"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 (1.0)</w:t>
            </w:r>
          </w:p>
          <w:p w14:paraId="604EF22F"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0</w:t>
            </w:r>
          </w:p>
          <w:p w14:paraId="4FADD4D5" w14:textId="77777777" w:rsidR="00E568A1" w:rsidRPr="00D168F9"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tc>
      </w:tr>
      <w:tr w:rsidR="00E568A1" w:rsidRPr="005E5BCF" w14:paraId="75F4D540" w14:textId="77777777" w:rsidTr="00E221F6">
        <w:trPr>
          <w:trHeight w:val="405"/>
        </w:trPr>
        <w:tc>
          <w:tcPr>
            <w:tcW w:w="3675" w:type="dxa"/>
            <w:tcBorders>
              <w:top w:val="single" w:sz="12" w:space="0" w:color="FFFFFF"/>
              <w:left w:val="nil"/>
              <w:bottom w:val="single" w:sz="18" w:space="0" w:color="740000"/>
              <w:right w:val="nil"/>
            </w:tcBorders>
            <w:shd w:val="clear" w:color="auto" w:fill="FFFFFF"/>
          </w:tcPr>
          <w:p w14:paraId="315F71F7" w14:textId="77777777" w:rsidR="00E568A1" w:rsidRPr="00A81BDF" w:rsidRDefault="00E568A1" w:rsidP="00E221F6">
            <w:pPr>
              <w:autoSpaceDE w:val="0"/>
              <w:autoSpaceDN w:val="0"/>
              <w:adjustRightInd w:val="0"/>
              <w:spacing w:after="0" w:line="240" w:lineRule="auto"/>
              <w:jc w:val="both"/>
              <w:rPr>
                <w:rFonts w:ascii="Arial" w:hAnsi="Arial" w:cs="Arial"/>
                <w:color w:val="000000"/>
                <w:sz w:val="20"/>
                <w:szCs w:val="20"/>
              </w:rPr>
            </w:pPr>
            <w:r w:rsidRPr="00E221F6">
              <w:rPr>
                <w:rFonts w:ascii="Arial" w:hAnsi="Arial" w:cs="Arial"/>
                <w:color w:val="000000"/>
                <w:sz w:val="20"/>
                <w:szCs w:val="20"/>
                <w:lang w:val="en-US"/>
              </w:rPr>
              <w:t>QTcF</w:t>
            </w:r>
            <w:r w:rsidRPr="00A81BDF">
              <w:rPr>
                <w:rFonts w:ascii="Arial" w:hAnsi="Arial" w:cs="Arial"/>
                <w:color w:val="000000"/>
                <w:sz w:val="20"/>
                <w:szCs w:val="20"/>
              </w:rPr>
              <w:t xml:space="preserve"> </w:t>
            </w:r>
            <w:r w:rsidRPr="00E221F6">
              <w:rPr>
                <w:rFonts w:ascii="Arial" w:hAnsi="Arial" w:cs="Arial"/>
                <w:color w:val="000000"/>
                <w:sz w:val="20"/>
                <w:szCs w:val="20"/>
                <w:lang w:val="en-US"/>
              </w:rPr>
              <w:t>calc</w:t>
            </w:r>
            <w:r w:rsidRPr="00A81BDF">
              <w:rPr>
                <w:rFonts w:ascii="Arial" w:hAnsi="Arial" w:cs="Arial"/>
                <w:color w:val="000000"/>
                <w:sz w:val="20"/>
                <w:szCs w:val="20"/>
              </w:rPr>
              <w:t xml:space="preserve"> (мс)</w:t>
            </w:r>
          </w:p>
          <w:p w14:paraId="35A3D631" w14:textId="7A16E8E9" w:rsidR="00E568A1" w:rsidRPr="00A81BDF" w:rsidRDefault="00CD3DAD" w:rsidP="00E221F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Збільшення</w:t>
            </w:r>
            <w:r w:rsidR="00E568A1" w:rsidRPr="00A81BDF">
              <w:rPr>
                <w:rFonts w:ascii="Arial" w:hAnsi="Arial" w:cs="Arial"/>
                <w:color w:val="000000"/>
                <w:sz w:val="20"/>
                <w:szCs w:val="20"/>
              </w:rPr>
              <w:t xml:space="preserve"> на 30-60 мс</w:t>
            </w:r>
          </w:p>
          <w:p w14:paraId="695CD7E3" w14:textId="750E6694" w:rsidR="00E568A1" w:rsidRPr="00E221F6" w:rsidRDefault="00CD3DAD" w:rsidP="00E221F6">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Збільшення</w:t>
            </w:r>
            <w:r w:rsidR="00E568A1" w:rsidRPr="00E221F6">
              <w:rPr>
                <w:rFonts w:ascii="Arial" w:hAnsi="Arial" w:cs="Arial"/>
                <w:color w:val="000000"/>
                <w:sz w:val="20"/>
                <w:szCs w:val="20"/>
                <w:lang w:val="en-US"/>
              </w:rPr>
              <w:t xml:space="preserve"> на&gt; 60 мс</w:t>
            </w:r>
          </w:p>
        </w:tc>
        <w:tc>
          <w:tcPr>
            <w:tcW w:w="2940" w:type="dxa"/>
            <w:tcBorders>
              <w:top w:val="single" w:sz="12" w:space="0" w:color="FFFFFF"/>
              <w:left w:val="nil"/>
              <w:bottom w:val="single" w:sz="18" w:space="0" w:color="740000"/>
              <w:right w:val="nil"/>
            </w:tcBorders>
            <w:shd w:val="clear" w:color="auto" w:fill="FFFFFF"/>
          </w:tcPr>
          <w:p w14:paraId="29D3013F"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99</w:t>
            </w:r>
          </w:p>
          <w:p w14:paraId="1EE3A94D"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52 (52.5)</w:t>
            </w:r>
          </w:p>
          <w:p w14:paraId="1EE2B987"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10 (10.1)</w:t>
            </w:r>
          </w:p>
          <w:p w14:paraId="7AF43F9D" w14:textId="77777777" w:rsidR="00E568A1" w:rsidRPr="006E61B1"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tc>
        <w:tc>
          <w:tcPr>
            <w:tcW w:w="2956" w:type="dxa"/>
            <w:tcBorders>
              <w:top w:val="single" w:sz="12" w:space="0" w:color="FFFFFF"/>
              <w:left w:val="nil"/>
              <w:bottom w:val="single" w:sz="18" w:space="0" w:color="740000"/>
              <w:right w:val="nil"/>
            </w:tcBorders>
            <w:shd w:val="clear" w:color="auto" w:fill="FFFFFF"/>
          </w:tcPr>
          <w:p w14:paraId="0739667F"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101</w:t>
            </w:r>
          </w:p>
          <w:p w14:paraId="401DBE60"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33 (32.7)</w:t>
            </w:r>
          </w:p>
          <w:p w14:paraId="501D311B"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4 (4.0)</w:t>
            </w:r>
          </w:p>
          <w:p w14:paraId="0AF1B68C" w14:textId="77777777" w:rsidR="00E568A1" w:rsidRPr="006E61B1" w:rsidRDefault="00E568A1" w:rsidP="00E221F6">
            <w:pPr>
              <w:autoSpaceDE w:val="0"/>
              <w:autoSpaceDN w:val="0"/>
              <w:adjustRightInd w:val="0"/>
              <w:spacing w:after="0" w:line="240" w:lineRule="auto"/>
              <w:jc w:val="center"/>
              <w:rPr>
                <w:rFonts w:ascii="Arial" w:hAnsi="Arial" w:cs="Arial"/>
                <w:bCs/>
                <w:color w:val="000000"/>
                <w:sz w:val="16"/>
                <w:szCs w:val="16"/>
                <w:lang w:val="uk-UA"/>
              </w:rPr>
            </w:pPr>
          </w:p>
        </w:tc>
      </w:tr>
    </w:tbl>
    <w:p w14:paraId="4CA5E186" w14:textId="77777777" w:rsidR="00E568A1" w:rsidRPr="006E61B1" w:rsidRDefault="00E568A1" w:rsidP="0037724F">
      <w:pPr>
        <w:autoSpaceDE w:val="0"/>
        <w:autoSpaceDN w:val="0"/>
        <w:adjustRightInd w:val="0"/>
        <w:spacing w:after="0" w:line="240" w:lineRule="auto"/>
        <w:jc w:val="both"/>
        <w:rPr>
          <w:rFonts w:ascii="Arial" w:hAnsi="Arial" w:cs="Arial"/>
          <w:bCs/>
          <w:color w:val="000000"/>
          <w:sz w:val="12"/>
          <w:szCs w:val="12"/>
          <w:lang w:val="uk-UA"/>
        </w:rPr>
      </w:pPr>
    </w:p>
    <w:p w14:paraId="12C9B377" w14:textId="7C3D30CD" w:rsidR="00E568A1" w:rsidRPr="00EA1CA1" w:rsidRDefault="00E568A1" w:rsidP="0037724F">
      <w:pPr>
        <w:autoSpaceDE w:val="0"/>
        <w:autoSpaceDN w:val="0"/>
        <w:adjustRightInd w:val="0"/>
        <w:spacing w:after="0" w:line="240" w:lineRule="auto"/>
        <w:jc w:val="both"/>
        <w:rPr>
          <w:rFonts w:ascii="Arial" w:hAnsi="Arial" w:cs="Arial"/>
          <w:color w:val="000000"/>
          <w:sz w:val="18"/>
          <w:szCs w:val="18"/>
          <w:lang w:val="uk-UA"/>
        </w:rPr>
      </w:pPr>
      <w:r w:rsidRPr="00BD48B2">
        <w:rPr>
          <w:rFonts w:ascii="Arial" w:hAnsi="Arial" w:cs="Arial"/>
          <w:color w:val="000000"/>
          <w:sz w:val="18"/>
          <w:szCs w:val="18"/>
          <w:lang w:val="en-US"/>
        </w:rPr>
        <w:t>N</w:t>
      </w:r>
      <w:r w:rsidR="00CD3DAD">
        <w:rPr>
          <w:rFonts w:ascii="Arial" w:hAnsi="Arial" w:cs="Arial"/>
          <w:color w:val="000000"/>
          <w:sz w:val="18"/>
          <w:szCs w:val="18"/>
          <w:lang w:val="uk-UA"/>
        </w:rPr>
        <w:t xml:space="preserve"> = Кількість популяції</w:t>
      </w:r>
      <w:r w:rsidRPr="00BD48B2">
        <w:rPr>
          <w:rFonts w:ascii="Arial" w:hAnsi="Arial" w:cs="Arial"/>
          <w:color w:val="000000"/>
          <w:sz w:val="18"/>
          <w:szCs w:val="18"/>
          <w:lang w:val="uk-UA"/>
        </w:rPr>
        <w:t xml:space="preserve"> ІТТ </w:t>
      </w:r>
      <w:r>
        <w:rPr>
          <w:rFonts w:ascii="Arial" w:hAnsi="Arial" w:cs="Arial"/>
          <w:color w:val="000000"/>
          <w:sz w:val="18"/>
          <w:szCs w:val="18"/>
          <w:lang w:val="uk-UA"/>
        </w:rPr>
        <w:t xml:space="preserve">з даними; </w:t>
      </w:r>
      <w:r w:rsidRPr="00BD48B2">
        <w:rPr>
          <w:rFonts w:ascii="Arial" w:hAnsi="Arial" w:cs="Arial"/>
          <w:color w:val="000000"/>
          <w:sz w:val="18"/>
          <w:szCs w:val="18"/>
          <w:lang w:val="en-US"/>
        </w:rPr>
        <w:t>QTcF</w:t>
      </w:r>
      <w:r w:rsidRPr="00BD48B2">
        <w:rPr>
          <w:rFonts w:ascii="Arial" w:hAnsi="Arial" w:cs="Arial"/>
          <w:color w:val="000000"/>
          <w:sz w:val="18"/>
          <w:szCs w:val="18"/>
          <w:lang w:val="uk-UA"/>
        </w:rPr>
        <w:t xml:space="preserve">: інтервал </w:t>
      </w:r>
      <w:r w:rsidRPr="00BD48B2">
        <w:rPr>
          <w:rFonts w:ascii="Arial" w:hAnsi="Arial" w:cs="Arial"/>
          <w:color w:val="000000"/>
          <w:sz w:val="18"/>
          <w:szCs w:val="18"/>
          <w:lang w:val="en-US"/>
        </w:rPr>
        <w:t>QT</w:t>
      </w:r>
      <w:r>
        <w:rPr>
          <w:rFonts w:ascii="Arial" w:hAnsi="Arial" w:cs="Arial"/>
          <w:color w:val="000000"/>
          <w:sz w:val="18"/>
          <w:szCs w:val="18"/>
          <w:lang w:val="uk-UA"/>
        </w:rPr>
        <w:t>, с</w:t>
      </w:r>
      <w:r w:rsidRPr="00BD48B2">
        <w:rPr>
          <w:rFonts w:ascii="Arial" w:hAnsi="Arial" w:cs="Arial"/>
          <w:color w:val="000000"/>
          <w:sz w:val="18"/>
          <w:szCs w:val="18"/>
          <w:lang w:val="uk-UA"/>
        </w:rPr>
        <w:t xml:space="preserve">коригований для серцевого ритму, за методом </w:t>
      </w:r>
      <w:r>
        <w:rPr>
          <w:rFonts w:ascii="Arial" w:hAnsi="Arial" w:cs="Arial"/>
          <w:color w:val="000000"/>
          <w:sz w:val="18"/>
          <w:szCs w:val="18"/>
          <w:lang w:val="uk-UA"/>
        </w:rPr>
        <w:t>Фрідеріція.</w:t>
      </w:r>
    </w:p>
    <w:p w14:paraId="5EF69147" w14:textId="77777777" w:rsidR="00E568A1" w:rsidRPr="00BD48B2" w:rsidRDefault="00E568A1" w:rsidP="0037724F">
      <w:pPr>
        <w:autoSpaceDE w:val="0"/>
        <w:autoSpaceDN w:val="0"/>
        <w:adjustRightInd w:val="0"/>
        <w:spacing w:after="0" w:line="240" w:lineRule="auto"/>
        <w:jc w:val="both"/>
        <w:rPr>
          <w:rFonts w:ascii="Arial" w:hAnsi="Arial" w:cs="Arial"/>
          <w:color w:val="000000"/>
          <w:sz w:val="18"/>
          <w:szCs w:val="18"/>
          <w:lang w:val="uk-UA"/>
        </w:rPr>
      </w:pPr>
    </w:p>
    <w:p w14:paraId="343041B6" w14:textId="6116E5D8" w:rsidR="00E568A1" w:rsidRPr="00132D68" w:rsidRDefault="00132D68" w:rsidP="0037724F">
      <w:pPr>
        <w:autoSpaceDE w:val="0"/>
        <w:autoSpaceDN w:val="0"/>
        <w:adjustRightInd w:val="0"/>
        <w:spacing w:after="0" w:line="240" w:lineRule="auto"/>
        <w:jc w:val="both"/>
        <w:rPr>
          <w:rFonts w:ascii="Arial" w:hAnsi="Arial" w:cs="Arial"/>
          <w:b/>
          <w:bCs/>
          <w:i/>
          <w:iCs/>
          <w:color w:val="000000"/>
          <w:sz w:val="26"/>
          <w:szCs w:val="26"/>
          <w:lang w:val="uk-UA"/>
        </w:rPr>
      </w:pPr>
      <w:r w:rsidRPr="00132D68">
        <w:rPr>
          <w:rFonts w:ascii="Arial" w:hAnsi="Arial" w:cs="Arial"/>
          <w:b/>
          <w:bCs/>
          <w:i/>
          <w:iCs/>
          <w:color w:val="000000"/>
          <w:sz w:val="26"/>
          <w:szCs w:val="26"/>
        </w:rPr>
        <w:t xml:space="preserve">Печінкова недостатність </w:t>
      </w:r>
      <w:r w:rsidR="00E568A1" w:rsidRPr="00EA1CA1">
        <w:rPr>
          <w:rFonts w:ascii="Arial" w:hAnsi="Arial" w:cs="Arial"/>
          <w:b/>
          <w:bCs/>
          <w:i/>
          <w:iCs/>
          <w:color w:val="000000"/>
          <w:sz w:val="26"/>
          <w:szCs w:val="26"/>
        </w:rPr>
        <w:t>(</w:t>
      </w:r>
      <w:r w:rsidR="00FA063A">
        <w:rPr>
          <w:rFonts w:ascii="Arial" w:hAnsi="Arial" w:cs="Arial"/>
          <w:b/>
          <w:bCs/>
          <w:i/>
          <w:iCs/>
          <w:color w:val="000000"/>
          <w:sz w:val="26"/>
          <w:szCs w:val="26"/>
        </w:rPr>
        <w:t>Дослідження</w:t>
      </w:r>
      <w:r w:rsidR="00E568A1" w:rsidRPr="00EA1CA1">
        <w:rPr>
          <w:rFonts w:ascii="Arial" w:hAnsi="Arial" w:cs="Arial"/>
          <w:b/>
          <w:bCs/>
          <w:i/>
          <w:iCs/>
          <w:color w:val="000000"/>
          <w:sz w:val="26"/>
          <w:szCs w:val="26"/>
        </w:rPr>
        <w:t xml:space="preserve"> С208: </w:t>
      </w:r>
      <w:r w:rsidR="008604B5" w:rsidRPr="006F793B">
        <w:rPr>
          <w:rFonts w:ascii="Arial" w:hAnsi="Arial" w:cs="Arial"/>
          <w:b/>
          <w:bCs/>
          <w:i/>
          <w:iCs/>
          <w:color w:val="000000"/>
          <w:sz w:val="26"/>
          <w:szCs w:val="26"/>
        </w:rPr>
        <w:t>узагальнений досвід</w:t>
      </w:r>
      <w:r w:rsidR="008604B5">
        <w:rPr>
          <w:rFonts w:ascii="Arial" w:hAnsi="Arial" w:cs="Arial"/>
          <w:b/>
          <w:bCs/>
          <w:i/>
          <w:iCs/>
          <w:color w:val="000000"/>
          <w:sz w:val="26"/>
          <w:szCs w:val="26"/>
        </w:rPr>
        <w:t xml:space="preserve"> першо</w:t>
      </w:r>
      <w:r w:rsidR="008604B5">
        <w:rPr>
          <w:rFonts w:ascii="Arial" w:hAnsi="Arial" w:cs="Arial"/>
          <w:b/>
          <w:bCs/>
          <w:i/>
          <w:iCs/>
          <w:color w:val="000000"/>
          <w:sz w:val="26"/>
          <w:szCs w:val="26"/>
          <w:lang w:val="uk-UA"/>
        </w:rPr>
        <w:t>го</w:t>
      </w:r>
      <w:r w:rsidR="008604B5">
        <w:rPr>
          <w:rFonts w:ascii="Arial" w:hAnsi="Arial" w:cs="Arial"/>
          <w:b/>
          <w:bCs/>
          <w:i/>
          <w:iCs/>
          <w:color w:val="000000"/>
          <w:sz w:val="26"/>
          <w:szCs w:val="26"/>
        </w:rPr>
        <w:t xml:space="preserve"> та другого етапів</w:t>
      </w:r>
      <w:r w:rsidR="00E568A1" w:rsidRPr="00EA1CA1">
        <w:rPr>
          <w:rFonts w:ascii="Arial" w:hAnsi="Arial" w:cs="Arial"/>
          <w:b/>
          <w:bCs/>
          <w:i/>
          <w:iCs/>
          <w:color w:val="000000"/>
          <w:sz w:val="26"/>
          <w:szCs w:val="26"/>
        </w:rPr>
        <w:t>)</w:t>
      </w:r>
    </w:p>
    <w:p w14:paraId="3A55B2B1" w14:textId="77777777" w:rsidR="00E568A1" w:rsidRPr="00B73C99"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2FC31F38" w14:textId="13689632" w:rsidR="00E568A1" w:rsidRPr="00EE15E0" w:rsidRDefault="00E568A1" w:rsidP="0037724F">
      <w:pPr>
        <w:autoSpaceDE w:val="0"/>
        <w:autoSpaceDN w:val="0"/>
        <w:adjustRightInd w:val="0"/>
        <w:spacing w:after="0" w:line="240" w:lineRule="auto"/>
        <w:jc w:val="both"/>
        <w:rPr>
          <w:rFonts w:ascii="Arial" w:hAnsi="Arial" w:cs="Arial"/>
          <w:color w:val="000000"/>
          <w:lang w:val="en-US"/>
        </w:rPr>
      </w:pPr>
      <w:r w:rsidRPr="004C4B9C">
        <w:rPr>
          <w:rFonts w:ascii="Arial" w:hAnsi="Arial" w:cs="Arial"/>
          <w:color w:val="000000"/>
          <w:lang w:val="en-US"/>
        </w:rPr>
        <w:t xml:space="preserve">У </w:t>
      </w:r>
      <w:r w:rsidR="00B73C99">
        <w:rPr>
          <w:rFonts w:ascii="Arial" w:hAnsi="Arial" w:cs="Arial"/>
          <w:color w:val="000000"/>
          <w:lang w:val="en-US"/>
        </w:rPr>
        <w:t xml:space="preserve">групі </w:t>
      </w:r>
      <w:r w:rsidR="00132D68">
        <w:rPr>
          <w:rFonts w:ascii="Arial" w:hAnsi="Arial" w:cs="Arial"/>
          <w:color w:val="000000"/>
          <w:lang w:val="uk-UA"/>
        </w:rPr>
        <w:t>“</w:t>
      </w:r>
      <w:r w:rsidR="00B73C99">
        <w:rPr>
          <w:rFonts w:ascii="Arial" w:hAnsi="Arial" w:cs="Arial"/>
          <w:color w:val="000000"/>
          <w:lang w:val="uk-UA"/>
        </w:rPr>
        <w:t>Будь-який бедаквілін</w:t>
      </w:r>
      <w:r w:rsidR="00132D68">
        <w:rPr>
          <w:rFonts w:ascii="Arial" w:hAnsi="Arial" w:cs="Arial"/>
          <w:color w:val="000000"/>
          <w:lang w:val="uk-UA"/>
        </w:rPr>
        <w:t>”</w:t>
      </w:r>
      <w:r w:rsidR="00132D68" w:rsidRPr="002A4A76">
        <w:rPr>
          <w:rFonts w:ascii="Arial" w:hAnsi="Arial" w:cs="Arial"/>
          <w:color w:val="000000"/>
          <w:lang w:val="uk-UA"/>
        </w:rPr>
        <w:t xml:space="preserve">, </w:t>
      </w:r>
      <w:r w:rsidRPr="004C4B9C">
        <w:rPr>
          <w:rFonts w:ascii="Arial" w:hAnsi="Arial" w:cs="Arial"/>
          <w:color w:val="000000"/>
          <w:lang w:val="en-US"/>
        </w:rPr>
        <w:t>загалом (9 осіб, 8,8%) спостері</w:t>
      </w:r>
      <w:r w:rsidR="00132D68">
        <w:rPr>
          <w:rFonts w:ascii="Arial" w:hAnsi="Arial" w:cs="Arial"/>
          <w:color w:val="000000"/>
          <w:lang w:val="en-US"/>
        </w:rPr>
        <w:t>гала</w:t>
      </w:r>
      <w:r w:rsidR="00D63087">
        <w:rPr>
          <w:rFonts w:ascii="Arial" w:hAnsi="Arial" w:cs="Arial"/>
          <w:color w:val="000000"/>
          <w:lang w:val="en-US"/>
        </w:rPr>
        <w:t>ся більша кількість випадків</w:t>
      </w:r>
      <w:r w:rsidRPr="004C4B9C">
        <w:rPr>
          <w:rFonts w:ascii="Arial" w:hAnsi="Arial" w:cs="Arial"/>
          <w:color w:val="000000"/>
          <w:lang w:val="en-US"/>
        </w:rPr>
        <w:t xml:space="preserve">, пов'язаних з </w:t>
      </w:r>
      <w:r w:rsidR="00D63087">
        <w:rPr>
          <w:rFonts w:ascii="Arial" w:hAnsi="Arial" w:cs="Arial"/>
          <w:color w:val="000000"/>
          <w:lang w:val="uk-UA"/>
        </w:rPr>
        <w:t>дисфункцією</w:t>
      </w:r>
      <w:r w:rsidRPr="004C4B9C">
        <w:rPr>
          <w:rFonts w:ascii="Arial" w:hAnsi="Arial" w:cs="Arial"/>
          <w:color w:val="000000"/>
          <w:lang w:val="en-US"/>
        </w:rPr>
        <w:t xml:space="preserve"> печінки у порівнянні з групою плацебо загалом (2 пацієнти, 1,9%). Збільшення трансаміназ припадає на більшість з цих зареєстрованих випадків. Аналіз з метою виявлення випадків важкої </w:t>
      </w:r>
      <w:r w:rsidR="00D63087">
        <w:rPr>
          <w:rFonts w:ascii="Arial" w:hAnsi="Arial" w:cs="Arial"/>
          <w:color w:val="000000"/>
          <w:lang w:val="uk-UA"/>
        </w:rPr>
        <w:t>ін</w:t>
      </w:r>
      <w:r w:rsidR="00D63087">
        <w:rPr>
          <w:rFonts w:ascii="Arial" w:hAnsi="Arial" w:cs="Arial"/>
          <w:color w:val="000000"/>
          <w:lang w:val="en-US"/>
        </w:rPr>
        <w:t>токсикації</w:t>
      </w:r>
      <w:r w:rsidRPr="004C4B9C">
        <w:rPr>
          <w:rFonts w:ascii="Arial" w:hAnsi="Arial" w:cs="Arial"/>
          <w:color w:val="000000"/>
          <w:lang w:val="en-US"/>
        </w:rPr>
        <w:t xml:space="preserve"> печінки виявив 1 випадок у пацієнта, який мав одночасне &gt; 3-кратне підвищення аспартат-амінотрансферази (AST) та &gt; 2-кратне</w:t>
      </w:r>
      <w:r w:rsidR="00F32BDC">
        <w:rPr>
          <w:rFonts w:ascii="Arial" w:hAnsi="Arial" w:cs="Arial"/>
          <w:color w:val="000000"/>
          <w:lang w:val="en-US"/>
        </w:rPr>
        <w:t xml:space="preserve"> підвищення загального </w:t>
      </w:r>
      <w:r w:rsidR="00692241">
        <w:rPr>
          <w:rFonts w:ascii="Arial" w:hAnsi="Arial" w:cs="Arial"/>
          <w:color w:val="000000"/>
          <w:lang w:val="en-US"/>
        </w:rPr>
        <w:t xml:space="preserve">білірубіну, але було </w:t>
      </w:r>
      <w:r w:rsidR="00B072A2">
        <w:rPr>
          <w:rFonts w:ascii="Arial" w:hAnsi="Arial" w:cs="Arial"/>
          <w:color w:val="000000"/>
          <w:lang w:val="en-US"/>
        </w:rPr>
        <w:t>помилково визначено як алкогольний гепатит з</w:t>
      </w:r>
      <w:r w:rsidR="00692241">
        <w:rPr>
          <w:rFonts w:ascii="Arial" w:hAnsi="Arial" w:cs="Arial"/>
          <w:color w:val="000000"/>
          <w:lang w:val="en-US"/>
        </w:rPr>
        <w:t xml:space="preserve"> одночасним</w:t>
      </w:r>
      <w:r>
        <w:rPr>
          <w:rFonts w:ascii="Arial" w:hAnsi="Arial" w:cs="Arial"/>
          <w:color w:val="000000"/>
          <w:lang w:val="en-US"/>
        </w:rPr>
        <w:t xml:space="preserve"> прийом</w:t>
      </w:r>
      <w:r w:rsidR="00692241">
        <w:rPr>
          <w:rFonts w:ascii="Arial" w:hAnsi="Arial" w:cs="Arial"/>
          <w:color w:val="000000"/>
          <w:lang w:val="en-US"/>
        </w:rPr>
        <w:t>ом</w:t>
      </w:r>
      <w:r>
        <w:rPr>
          <w:rFonts w:ascii="Arial" w:hAnsi="Arial" w:cs="Arial"/>
          <w:color w:val="000000"/>
          <w:lang w:val="en-US"/>
        </w:rPr>
        <w:t xml:space="preserve"> гепатотоксичних</w:t>
      </w:r>
      <w:r w:rsidRPr="004C4B9C">
        <w:rPr>
          <w:rFonts w:ascii="Arial" w:hAnsi="Arial" w:cs="Arial"/>
          <w:color w:val="000000"/>
          <w:lang w:val="en-US"/>
        </w:rPr>
        <w:t xml:space="preserve"> </w:t>
      </w:r>
      <w:r w:rsidR="00B072A2">
        <w:rPr>
          <w:rFonts w:ascii="Arial" w:hAnsi="Arial" w:cs="Arial"/>
          <w:color w:val="000000"/>
          <w:lang w:val="uk-UA"/>
        </w:rPr>
        <w:t xml:space="preserve">фонових </w:t>
      </w:r>
      <w:r>
        <w:rPr>
          <w:rFonts w:ascii="Arial" w:hAnsi="Arial" w:cs="Arial"/>
          <w:color w:val="000000"/>
          <w:lang w:val="uk-UA"/>
        </w:rPr>
        <w:t>препаратів.</w:t>
      </w:r>
      <w:r w:rsidR="00D63087">
        <w:rPr>
          <w:rFonts w:ascii="Arial" w:hAnsi="Arial" w:cs="Arial"/>
          <w:color w:val="000000"/>
          <w:lang w:val="uk-UA"/>
        </w:rPr>
        <w:t xml:space="preserve"> </w:t>
      </w:r>
    </w:p>
    <w:p w14:paraId="6B91689B" w14:textId="77777777" w:rsidR="00E568A1" w:rsidRPr="00255826" w:rsidRDefault="00E568A1" w:rsidP="0037724F">
      <w:pPr>
        <w:autoSpaceDE w:val="0"/>
        <w:autoSpaceDN w:val="0"/>
        <w:adjustRightInd w:val="0"/>
        <w:spacing w:after="0" w:line="240" w:lineRule="auto"/>
        <w:jc w:val="both"/>
        <w:rPr>
          <w:rFonts w:ascii="Arial" w:hAnsi="Arial" w:cs="Arial"/>
          <w:b/>
          <w:bCs/>
          <w:color w:val="000000"/>
          <w:sz w:val="24"/>
          <w:szCs w:val="24"/>
          <w:lang w:val="en-US"/>
        </w:rPr>
      </w:pPr>
    </w:p>
    <w:p w14:paraId="4466E42A" w14:textId="5345A567" w:rsidR="00E568A1" w:rsidRPr="00B072A2" w:rsidRDefault="00E568A1" w:rsidP="0037724F">
      <w:pPr>
        <w:autoSpaceDE w:val="0"/>
        <w:autoSpaceDN w:val="0"/>
        <w:adjustRightInd w:val="0"/>
        <w:spacing w:after="0" w:line="240" w:lineRule="auto"/>
        <w:jc w:val="both"/>
        <w:rPr>
          <w:rFonts w:ascii="Arial" w:hAnsi="Arial" w:cs="Arial"/>
          <w:b/>
          <w:bCs/>
          <w:color w:val="000000"/>
          <w:sz w:val="24"/>
          <w:szCs w:val="24"/>
          <w:lang w:val="uk-UA"/>
        </w:rPr>
      </w:pPr>
      <w:r w:rsidRPr="00B650EE">
        <w:rPr>
          <w:rFonts w:ascii="Arial" w:hAnsi="Arial" w:cs="Arial"/>
          <w:b/>
          <w:bCs/>
          <w:color w:val="000000"/>
          <w:sz w:val="24"/>
          <w:szCs w:val="24"/>
        </w:rPr>
        <w:t>Таблиця</w:t>
      </w:r>
      <w:r w:rsidRPr="00A60AE1">
        <w:rPr>
          <w:rFonts w:ascii="Arial" w:hAnsi="Arial" w:cs="Arial"/>
          <w:b/>
          <w:bCs/>
          <w:color w:val="000000"/>
          <w:sz w:val="24"/>
          <w:szCs w:val="24"/>
        </w:rPr>
        <w:t xml:space="preserve"> 4. </w:t>
      </w:r>
      <w:r>
        <w:rPr>
          <w:rFonts w:ascii="Arial" w:hAnsi="Arial" w:cs="Arial"/>
          <w:b/>
          <w:bCs/>
          <w:color w:val="000000"/>
          <w:sz w:val="24"/>
          <w:szCs w:val="24"/>
          <w:lang w:val="uk-UA"/>
        </w:rPr>
        <w:t>З</w:t>
      </w:r>
      <w:r w:rsidRPr="00B650EE">
        <w:rPr>
          <w:rFonts w:ascii="Arial" w:hAnsi="Arial" w:cs="Arial"/>
          <w:b/>
          <w:bCs/>
          <w:color w:val="000000"/>
          <w:sz w:val="24"/>
          <w:szCs w:val="24"/>
        </w:rPr>
        <w:t>ареєстровані</w:t>
      </w:r>
      <w:r w:rsidRPr="00A60AE1">
        <w:rPr>
          <w:rFonts w:ascii="Arial" w:hAnsi="Arial" w:cs="Arial"/>
          <w:b/>
          <w:bCs/>
          <w:color w:val="000000"/>
          <w:sz w:val="24"/>
          <w:szCs w:val="24"/>
        </w:rPr>
        <w:t xml:space="preserve"> </w:t>
      </w:r>
      <w:r w:rsidR="00B072A2">
        <w:rPr>
          <w:rFonts w:ascii="Arial" w:hAnsi="Arial" w:cs="Arial"/>
          <w:b/>
          <w:bCs/>
          <w:color w:val="000000"/>
          <w:sz w:val="24"/>
          <w:szCs w:val="24"/>
          <w:lang w:val="uk-UA"/>
        </w:rPr>
        <w:t xml:space="preserve">дослідником випадки </w:t>
      </w:r>
      <w:r w:rsidR="00B072A2" w:rsidRPr="00B072A2">
        <w:rPr>
          <w:rFonts w:ascii="Arial" w:hAnsi="Arial" w:cs="Arial"/>
          <w:b/>
          <w:bCs/>
          <w:iCs/>
          <w:color w:val="000000"/>
          <w:sz w:val="26"/>
          <w:szCs w:val="26"/>
        </w:rPr>
        <w:t>п</w:t>
      </w:r>
      <w:r w:rsidR="00B072A2">
        <w:rPr>
          <w:rFonts w:ascii="Arial" w:hAnsi="Arial" w:cs="Arial"/>
          <w:b/>
          <w:bCs/>
          <w:iCs/>
          <w:color w:val="000000"/>
          <w:sz w:val="26"/>
          <w:szCs w:val="26"/>
        </w:rPr>
        <w:t>ечінкової</w:t>
      </w:r>
      <w:r w:rsidR="00B072A2" w:rsidRPr="00B072A2">
        <w:rPr>
          <w:rFonts w:ascii="Arial" w:hAnsi="Arial" w:cs="Arial"/>
          <w:b/>
          <w:bCs/>
          <w:iCs/>
          <w:color w:val="000000"/>
          <w:sz w:val="26"/>
          <w:szCs w:val="26"/>
        </w:rPr>
        <w:t xml:space="preserve"> недостатн</w:t>
      </w:r>
      <w:r w:rsidR="00B072A2">
        <w:rPr>
          <w:rFonts w:ascii="Arial" w:hAnsi="Arial" w:cs="Arial"/>
          <w:b/>
          <w:bCs/>
          <w:iCs/>
          <w:color w:val="000000"/>
          <w:sz w:val="26"/>
          <w:szCs w:val="26"/>
        </w:rPr>
        <w:t>ості</w:t>
      </w:r>
    </w:p>
    <w:p w14:paraId="3A4C01CA" w14:textId="77777777" w:rsidR="00E568A1" w:rsidRPr="00D63087" w:rsidRDefault="00E568A1" w:rsidP="0037724F">
      <w:pPr>
        <w:autoSpaceDE w:val="0"/>
        <w:autoSpaceDN w:val="0"/>
        <w:adjustRightInd w:val="0"/>
        <w:spacing w:after="0" w:line="240" w:lineRule="auto"/>
        <w:jc w:val="both"/>
        <w:rPr>
          <w:rFonts w:ascii="Arial" w:hAnsi="Arial" w:cs="Arial"/>
          <w:b/>
          <w:bCs/>
          <w:color w:val="000000"/>
          <w:sz w:val="16"/>
          <w:szCs w:val="16"/>
        </w:rPr>
      </w:pPr>
    </w:p>
    <w:tbl>
      <w:tblPr>
        <w:tblW w:w="9322" w:type="dxa"/>
        <w:tblLook w:val="00A0" w:firstRow="1" w:lastRow="0" w:firstColumn="1" w:lastColumn="0" w:noHBand="0" w:noVBand="0"/>
      </w:tblPr>
      <w:tblGrid>
        <w:gridCol w:w="4219"/>
        <w:gridCol w:w="2410"/>
        <w:gridCol w:w="2693"/>
      </w:tblGrid>
      <w:tr w:rsidR="00E568A1" w:rsidRPr="00C75FA3" w14:paraId="0EAA2C7D" w14:textId="77777777" w:rsidTr="00E221F6">
        <w:tc>
          <w:tcPr>
            <w:tcW w:w="4219" w:type="dxa"/>
            <w:tcBorders>
              <w:top w:val="single" w:sz="18" w:space="0" w:color="740000"/>
            </w:tcBorders>
            <w:shd w:val="clear" w:color="auto" w:fill="920000"/>
          </w:tcPr>
          <w:p w14:paraId="10ED76C1" w14:textId="77777777" w:rsidR="00E568A1" w:rsidRPr="00A60AE1" w:rsidRDefault="00E568A1" w:rsidP="00E221F6">
            <w:pPr>
              <w:autoSpaceDE w:val="0"/>
              <w:autoSpaceDN w:val="0"/>
              <w:adjustRightInd w:val="0"/>
              <w:spacing w:after="0" w:line="240" w:lineRule="auto"/>
              <w:rPr>
                <w:rFonts w:ascii="Arial" w:hAnsi="Arial" w:cs="Arial"/>
                <w:b/>
                <w:bCs/>
                <w:color w:val="FFFFFF"/>
                <w:sz w:val="21"/>
                <w:szCs w:val="21"/>
              </w:rPr>
            </w:pPr>
          </w:p>
          <w:p w14:paraId="00F191D3" w14:textId="0F25C27B" w:rsidR="00E568A1" w:rsidRPr="00E221F6" w:rsidRDefault="00B072A2" w:rsidP="00E221F6">
            <w:pPr>
              <w:autoSpaceDE w:val="0"/>
              <w:autoSpaceDN w:val="0"/>
              <w:adjustRightInd w:val="0"/>
              <w:spacing w:after="0" w:line="240" w:lineRule="auto"/>
              <w:rPr>
                <w:rFonts w:ascii="Arial" w:hAnsi="Arial" w:cs="Arial"/>
                <w:b/>
                <w:bCs/>
                <w:color w:val="FFFFFF"/>
                <w:sz w:val="21"/>
                <w:szCs w:val="21"/>
                <w:lang w:val="uk-UA"/>
              </w:rPr>
            </w:pPr>
            <w:r>
              <w:rPr>
                <w:rFonts w:ascii="Arial" w:hAnsi="Arial" w:cs="Arial"/>
                <w:b/>
                <w:bCs/>
                <w:color w:val="FFFFFF"/>
                <w:sz w:val="21"/>
                <w:szCs w:val="21"/>
                <w:lang w:val="uk-UA"/>
              </w:rPr>
              <w:t>Зареєстровані дослідником</w:t>
            </w:r>
            <w:r w:rsidR="00E568A1" w:rsidRPr="00E221F6">
              <w:rPr>
                <w:rFonts w:ascii="Arial" w:hAnsi="Arial" w:cs="Arial"/>
                <w:b/>
                <w:bCs/>
                <w:color w:val="FFFFFF"/>
                <w:sz w:val="21"/>
                <w:szCs w:val="21"/>
                <w:lang w:val="uk-UA"/>
              </w:rPr>
              <w:t xml:space="preserve"> випадки</w:t>
            </w:r>
          </w:p>
          <w:p w14:paraId="4E73F89C" w14:textId="77777777" w:rsidR="00E568A1" w:rsidRPr="00E221F6" w:rsidRDefault="00E568A1" w:rsidP="00E221F6">
            <w:pPr>
              <w:autoSpaceDE w:val="0"/>
              <w:autoSpaceDN w:val="0"/>
              <w:adjustRightInd w:val="0"/>
              <w:spacing w:after="0" w:line="240" w:lineRule="auto"/>
              <w:jc w:val="both"/>
              <w:rPr>
                <w:rFonts w:ascii="Arial" w:hAnsi="Arial" w:cs="Arial"/>
                <w:b/>
                <w:bCs/>
                <w:color w:val="FFFFFF"/>
                <w:sz w:val="21"/>
                <w:szCs w:val="21"/>
                <w:lang w:val="en-US"/>
              </w:rPr>
            </w:pPr>
          </w:p>
        </w:tc>
        <w:tc>
          <w:tcPr>
            <w:tcW w:w="2410" w:type="dxa"/>
            <w:tcBorders>
              <w:top w:val="single" w:sz="18" w:space="0" w:color="740000"/>
            </w:tcBorders>
            <w:shd w:val="clear" w:color="auto" w:fill="920000"/>
          </w:tcPr>
          <w:p w14:paraId="521551E9"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uk-UA"/>
              </w:rPr>
            </w:pPr>
          </w:p>
          <w:p w14:paraId="16F449C3"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uk-UA"/>
              </w:rPr>
              <w:t>Бедаквілін</w:t>
            </w:r>
            <w:r w:rsidRPr="00E221F6">
              <w:rPr>
                <w:rFonts w:ascii="Arial" w:hAnsi="Arial" w:cs="Arial"/>
                <w:b/>
                <w:bCs/>
                <w:color w:val="FFFFFF"/>
                <w:sz w:val="21"/>
                <w:szCs w:val="21"/>
                <w:lang w:val="en-US"/>
              </w:rPr>
              <w:t xml:space="preserve"> 24 тижні (N = 79)</w:t>
            </w:r>
          </w:p>
          <w:p w14:paraId="34BE89D1"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p>
        </w:tc>
        <w:tc>
          <w:tcPr>
            <w:tcW w:w="2693" w:type="dxa"/>
            <w:tcBorders>
              <w:top w:val="single" w:sz="18" w:space="0" w:color="740000"/>
            </w:tcBorders>
            <w:shd w:val="clear" w:color="auto" w:fill="920000"/>
          </w:tcPr>
          <w:p w14:paraId="0CB9F7D0"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p>
          <w:p w14:paraId="556494B8" w14:textId="77777777" w:rsidR="00E568A1" w:rsidRPr="00E221F6" w:rsidRDefault="00E568A1" w:rsidP="00E221F6">
            <w:pPr>
              <w:autoSpaceDE w:val="0"/>
              <w:autoSpaceDN w:val="0"/>
              <w:adjustRightInd w:val="0"/>
              <w:spacing w:after="0" w:line="240" w:lineRule="auto"/>
              <w:jc w:val="center"/>
              <w:rPr>
                <w:rFonts w:ascii="Arial" w:hAnsi="Arial" w:cs="Arial"/>
                <w:b/>
                <w:bCs/>
                <w:color w:val="FFFFFF"/>
                <w:sz w:val="21"/>
                <w:szCs w:val="21"/>
                <w:lang w:val="en-US"/>
              </w:rPr>
            </w:pPr>
            <w:r w:rsidRPr="00E221F6">
              <w:rPr>
                <w:rFonts w:ascii="Arial" w:hAnsi="Arial" w:cs="Arial"/>
                <w:b/>
                <w:bCs/>
                <w:color w:val="FFFFFF"/>
                <w:sz w:val="21"/>
                <w:szCs w:val="21"/>
                <w:lang w:val="en-US"/>
              </w:rPr>
              <w:t>Плацебо 24 тижні</w:t>
            </w:r>
            <w:r w:rsidRPr="00E221F6">
              <w:rPr>
                <w:rFonts w:ascii="Arial" w:hAnsi="Arial" w:cs="Arial"/>
                <w:b/>
                <w:bCs/>
                <w:color w:val="FFFFFF"/>
                <w:sz w:val="21"/>
                <w:szCs w:val="21"/>
                <w:lang w:val="uk-UA"/>
              </w:rPr>
              <w:t xml:space="preserve">                  </w:t>
            </w:r>
            <w:r w:rsidRPr="00E221F6">
              <w:rPr>
                <w:rFonts w:ascii="Arial" w:hAnsi="Arial" w:cs="Arial"/>
                <w:b/>
                <w:bCs/>
                <w:color w:val="FFFFFF"/>
                <w:sz w:val="21"/>
                <w:szCs w:val="21"/>
                <w:lang w:val="en-US"/>
              </w:rPr>
              <w:t xml:space="preserve"> (N = 81)</w:t>
            </w:r>
          </w:p>
        </w:tc>
      </w:tr>
      <w:tr w:rsidR="00E568A1" w14:paraId="66389995" w14:textId="77777777" w:rsidTr="00E221F6">
        <w:tc>
          <w:tcPr>
            <w:tcW w:w="4219" w:type="dxa"/>
            <w:shd w:val="clear" w:color="auto" w:fill="FBDDDD"/>
          </w:tcPr>
          <w:p w14:paraId="3179827D" w14:textId="77777777" w:rsidR="00E568A1" w:rsidRPr="00A81BDF" w:rsidRDefault="00E568A1" w:rsidP="00E221F6">
            <w:pPr>
              <w:autoSpaceDE w:val="0"/>
              <w:autoSpaceDN w:val="0"/>
              <w:adjustRightInd w:val="0"/>
              <w:spacing w:after="0" w:line="240" w:lineRule="auto"/>
              <w:rPr>
                <w:rFonts w:ascii="Arial" w:hAnsi="Arial" w:cs="Arial"/>
                <w:color w:val="000000"/>
                <w:sz w:val="10"/>
                <w:szCs w:val="10"/>
              </w:rPr>
            </w:pPr>
          </w:p>
          <w:p w14:paraId="1D8FCF67" w14:textId="282B7760" w:rsidR="00E568A1" w:rsidRPr="00A81BDF" w:rsidRDefault="00B072A2" w:rsidP="00E221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Ознаки/</w:t>
            </w:r>
            <w:r w:rsidR="00E568A1" w:rsidRPr="00A81BDF">
              <w:rPr>
                <w:rFonts w:ascii="Arial" w:hAnsi="Arial" w:cs="Arial"/>
                <w:color w:val="000000"/>
                <w:sz w:val="18"/>
                <w:szCs w:val="18"/>
              </w:rPr>
              <w:t xml:space="preserve">симптоми, пов'язані з </w:t>
            </w:r>
            <w:r w:rsidR="00FE7B28">
              <w:rPr>
                <w:rFonts w:ascii="Arial" w:hAnsi="Arial" w:cs="Arial"/>
                <w:color w:val="000000"/>
                <w:sz w:val="18"/>
                <w:szCs w:val="18"/>
                <w:lang w:val="uk-UA"/>
              </w:rPr>
              <w:t>порушеннями функції</w:t>
            </w:r>
            <w:r w:rsidR="00E568A1" w:rsidRPr="00E221F6">
              <w:rPr>
                <w:rFonts w:ascii="Arial" w:hAnsi="Arial" w:cs="Arial"/>
                <w:color w:val="000000"/>
                <w:sz w:val="18"/>
                <w:szCs w:val="18"/>
                <w:lang w:val="uk-UA"/>
              </w:rPr>
              <w:t xml:space="preserve"> </w:t>
            </w:r>
            <w:r w:rsidR="00E568A1" w:rsidRPr="00A81BDF">
              <w:rPr>
                <w:rFonts w:ascii="Arial" w:hAnsi="Arial" w:cs="Arial"/>
                <w:color w:val="000000"/>
                <w:sz w:val="18"/>
                <w:szCs w:val="18"/>
              </w:rPr>
              <w:t>печінки</w:t>
            </w:r>
          </w:p>
          <w:p w14:paraId="31145BAA" w14:textId="77777777" w:rsidR="00E568A1" w:rsidRPr="00E221F6" w:rsidRDefault="00E568A1" w:rsidP="00E221F6">
            <w:pPr>
              <w:autoSpaceDE w:val="0"/>
              <w:autoSpaceDN w:val="0"/>
              <w:adjustRightInd w:val="0"/>
              <w:spacing w:after="0" w:line="240" w:lineRule="auto"/>
              <w:rPr>
                <w:rFonts w:ascii="Arial" w:hAnsi="Arial" w:cs="Arial"/>
                <w:color w:val="000000"/>
                <w:sz w:val="10"/>
                <w:szCs w:val="10"/>
                <w:lang w:val="uk-UA"/>
              </w:rPr>
            </w:pPr>
          </w:p>
        </w:tc>
        <w:tc>
          <w:tcPr>
            <w:tcW w:w="2410" w:type="dxa"/>
            <w:shd w:val="clear" w:color="auto" w:fill="FBDDDD"/>
          </w:tcPr>
          <w:p w14:paraId="750D59E7" w14:textId="77777777" w:rsidR="00E568A1" w:rsidRPr="00A81BDF" w:rsidRDefault="00E568A1" w:rsidP="00E221F6">
            <w:pPr>
              <w:autoSpaceDE w:val="0"/>
              <w:autoSpaceDN w:val="0"/>
              <w:adjustRightInd w:val="0"/>
              <w:spacing w:after="0" w:line="240" w:lineRule="auto"/>
              <w:jc w:val="center"/>
              <w:rPr>
                <w:rFonts w:ascii="Arial" w:hAnsi="Arial" w:cs="Arial"/>
                <w:color w:val="000000"/>
                <w:sz w:val="10"/>
                <w:szCs w:val="10"/>
              </w:rPr>
            </w:pPr>
          </w:p>
          <w:p w14:paraId="1C3EE842"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r w:rsidRPr="00E221F6">
              <w:rPr>
                <w:rFonts w:ascii="Arial" w:hAnsi="Arial" w:cs="Arial"/>
                <w:color w:val="000000"/>
                <w:sz w:val="18"/>
                <w:szCs w:val="18"/>
                <w:lang w:val="en-US"/>
              </w:rPr>
              <w:t>8 (10%)</w:t>
            </w:r>
          </w:p>
        </w:tc>
        <w:tc>
          <w:tcPr>
            <w:tcW w:w="2693" w:type="dxa"/>
            <w:shd w:val="clear" w:color="auto" w:fill="FBDDDD"/>
          </w:tcPr>
          <w:p w14:paraId="3460F0D6"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060418D0"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r w:rsidRPr="00E221F6">
              <w:rPr>
                <w:rFonts w:ascii="Arial" w:hAnsi="Arial" w:cs="Arial"/>
                <w:color w:val="000000"/>
                <w:sz w:val="18"/>
                <w:szCs w:val="18"/>
                <w:lang w:val="en-US"/>
              </w:rPr>
              <w:t>3 (3.7%)</w:t>
            </w:r>
          </w:p>
        </w:tc>
      </w:tr>
      <w:tr w:rsidR="00E568A1" w14:paraId="40A63B18" w14:textId="77777777" w:rsidTr="00E221F6">
        <w:tc>
          <w:tcPr>
            <w:tcW w:w="4219" w:type="dxa"/>
          </w:tcPr>
          <w:p w14:paraId="2468E7E9"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p w14:paraId="67959601"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Розлади печінки 10 (12,5%) 5 (6,7%)</w:t>
            </w:r>
          </w:p>
          <w:p w14:paraId="70A8A5B0"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24"/>
                <w:szCs w:val="24"/>
                <w:lang w:val="en-US"/>
              </w:rPr>
            </w:pPr>
          </w:p>
        </w:tc>
        <w:tc>
          <w:tcPr>
            <w:tcW w:w="2410" w:type="dxa"/>
          </w:tcPr>
          <w:p w14:paraId="10E93E69"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p>
          <w:p w14:paraId="5F0C0428"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10 (12,5%)</w:t>
            </w:r>
          </w:p>
          <w:p w14:paraId="6B084D58"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p>
        </w:tc>
        <w:tc>
          <w:tcPr>
            <w:tcW w:w="2693" w:type="dxa"/>
          </w:tcPr>
          <w:p w14:paraId="388C0881"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p>
          <w:p w14:paraId="6F2F071D"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5 (6,7%)</w:t>
            </w:r>
          </w:p>
          <w:p w14:paraId="7A30E3F6"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p>
        </w:tc>
      </w:tr>
      <w:tr w:rsidR="00E568A1" w14:paraId="0BC3A420" w14:textId="77777777" w:rsidTr="00E221F6">
        <w:tc>
          <w:tcPr>
            <w:tcW w:w="4219" w:type="dxa"/>
            <w:shd w:val="clear" w:color="auto" w:fill="FBDDDD"/>
          </w:tcPr>
          <w:p w14:paraId="4435E2C2"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p w14:paraId="6248FA8D" w14:textId="3A5557BF"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en-US"/>
              </w:rPr>
              <w:t xml:space="preserve">Можливі порушення </w:t>
            </w:r>
            <w:r w:rsidR="00B072A2">
              <w:rPr>
                <w:rFonts w:ascii="Arial" w:hAnsi="Arial" w:cs="Arial"/>
                <w:color w:val="000000"/>
                <w:sz w:val="18"/>
                <w:szCs w:val="18"/>
                <w:lang w:val="uk-UA"/>
              </w:rPr>
              <w:t>функції</w:t>
            </w:r>
            <w:r w:rsidRPr="00E221F6">
              <w:rPr>
                <w:rFonts w:ascii="Arial" w:hAnsi="Arial" w:cs="Arial"/>
                <w:color w:val="000000"/>
                <w:sz w:val="18"/>
                <w:szCs w:val="18"/>
                <w:lang w:val="uk-UA"/>
              </w:rPr>
              <w:t xml:space="preserve"> печінки</w:t>
            </w:r>
          </w:p>
          <w:p w14:paraId="24C0D767"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0"/>
                <w:szCs w:val="10"/>
                <w:lang w:val="en-US"/>
              </w:rPr>
            </w:pPr>
          </w:p>
        </w:tc>
        <w:tc>
          <w:tcPr>
            <w:tcW w:w="2410" w:type="dxa"/>
            <w:shd w:val="clear" w:color="auto" w:fill="FBDDDD"/>
          </w:tcPr>
          <w:p w14:paraId="15145EA4"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497F7359"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r w:rsidRPr="00E221F6">
              <w:rPr>
                <w:rFonts w:ascii="Arial" w:hAnsi="Arial" w:cs="Arial"/>
                <w:color w:val="000000"/>
                <w:sz w:val="18"/>
                <w:szCs w:val="18"/>
                <w:lang w:val="en-US"/>
              </w:rPr>
              <w:t>10 (12,5%)</w:t>
            </w:r>
          </w:p>
        </w:tc>
        <w:tc>
          <w:tcPr>
            <w:tcW w:w="2693" w:type="dxa"/>
            <w:shd w:val="clear" w:color="auto" w:fill="FBDDDD"/>
          </w:tcPr>
          <w:p w14:paraId="3978F8E5"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70F141AE"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5 (6,7%)</w:t>
            </w:r>
          </w:p>
          <w:p w14:paraId="72719DE7"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10"/>
                <w:szCs w:val="10"/>
                <w:lang w:val="en-US"/>
              </w:rPr>
            </w:pPr>
          </w:p>
        </w:tc>
      </w:tr>
      <w:tr w:rsidR="00E568A1" w14:paraId="513851BE" w14:textId="77777777" w:rsidTr="00E221F6">
        <w:tc>
          <w:tcPr>
            <w:tcW w:w="4219" w:type="dxa"/>
          </w:tcPr>
          <w:p w14:paraId="6B7C272E"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p w14:paraId="14F7FB76" w14:textId="59C0E0F2" w:rsidR="00E568A1" w:rsidRPr="00FE7B28" w:rsidRDefault="00FA063A" w:rsidP="00E221F6">
            <w:pPr>
              <w:autoSpaceDE w:val="0"/>
              <w:autoSpaceDN w:val="0"/>
              <w:adjustRightInd w:val="0"/>
              <w:spacing w:after="0" w:line="240" w:lineRule="auto"/>
              <w:jc w:val="both"/>
              <w:rPr>
                <w:rFonts w:ascii="Arial" w:hAnsi="Arial" w:cs="Arial"/>
                <w:b/>
                <w:bCs/>
                <w:color w:val="000000"/>
                <w:sz w:val="24"/>
                <w:szCs w:val="24"/>
                <w:lang w:val="uk-UA"/>
              </w:rPr>
            </w:pPr>
            <w:r>
              <w:rPr>
                <w:rFonts w:ascii="Arial" w:hAnsi="Arial" w:cs="Arial"/>
                <w:color w:val="000000"/>
                <w:sz w:val="18"/>
                <w:szCs w:val="18"/>
                <w:lang w:val="en-US"/>
              </w:rPr>
              <w:t>Гепатит (неінфекційний</w:t>
            </w:r>
            <w:r w:rsidR="00E568A1" w:rsidRPr="00E221F6">
              <w:rPr>
                <w:rFonts w:ascii="Arial" w:hAnsi="Arial" w:cs="Arial"/>
                <w:color w:val="000000"/>
                <w:sz w:val="18"/>
                <w:szCs w:val="18"/>
                <w:lang w:val="en-US"/>
              </w:rPr>
              <w:t xml:space="preserve">) </w:t>
            </w:r>
          </w:p>
        </w:tc>
        <w:tc>
          <w:tcPr>
            <w:tcW w:w="2410" w:type="dxa"/>
          </w:tcPr>
          <w:p w14:paraId="08769924"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48DDA131"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en-US"/>
              </w:rPr>
            </w:pPr>
            <w:r w:rsidRPr="00E221F6">
              <w:rPr>
                <w:rFonts w:ascii="Arial" w:hAnsi="Arial" w:cs="Arial"/>
                <w:color w:val="000000"/>
                <w:sz w:val="18"/>
                <w:szCs w:val="18"/>
                <w:lang w:val="en-US"/>
              </w:rPr>
              <w:t>2 (2,5%)</w:t>
            </w:r>
          </w:p>
        </w:tc>
        <w:tc>
          <w:tcPr>
            <w:tcW w:w="2693" w:type="dxa"/>
          </w:tcPr>
          <w:p w14:paraId="797DA798"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64936768"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 (1,23%)</w:t>
            </w:r>
          </w:p>
          <w:p w14:paraId="05F2DDEC"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10"/>
                <w:szCs w:val="10"/>
                <w:lang w:val="en-US"/>
              </w:rPr>
            </w:pPr>
          </w:p>
        </w:tc>
      </w:tr>
      <w:tr w:rsidR="00E568A1" w:rsidRPr="00932F00" w14:paraId="0A71A79F" w14:textId="77777777" w:rsidTr="00E221F6">
        <w:tc>
          <w:tcPr>
            <w:tcW w:w="4219" w:type="dxa"/>
            <w:tcBorders>
              <w:bottom w:val="single" w:sz="18" w:space="0" w:color="740000"/>
            </w:tcBorders>
            <w:shd w:val="clear" w:color="auto" w:fill="FBDDDD"/>
          </w:tcPr>
          <w:p w14:paraId="78A4C9E6" w14:textId="77777777" w:rsidR="00E568A1" w:rsidRPr="00A81BDF" w:rsidRDefault="00E568A1" w:rsidP="00E221F6">
            <w:pPr>
              <w:autoSpaceDE w:val="0"/>
              <w:autoSpaceDN w:val="0"/>
              <w:adjustRightInd w:val="0"/>
              <w:spacing w:after="0" w:line="240" w:lineRule="auto"/>
              <w:rPr>
                <w:rFonts w:ascii="Arial" w:hAnsi="Arial" w:cs="Arial"/>
                <w:color w:val="000000"/>
                <w:sz w:val="10"/>
                <w:szCs w:val="10"/>
              </w:rPr>
            </w:pPr>
          </w:p>
          <w:p w14:paraId="64E281A0" w14:textId="0E415052" w:rsidR="00E568A1" w:rsidRPr="00E221F6" w:rsidRDefault="00E568A1" w:rsidP="00E221F6">
            <w:pPr>
              <w:autoSpaceDE w:val="0"/>
              <w:autoSpaceDN w:val="0"/>
              <w:adjustRightInd w:val="0"/>
              <w:spacing w:after="0" w:line="240" w:lineRule="auto"/>
              <w:rPr>
                <w:rFonts w:ascii="Arial" w:hAnsi="Arial" w:cs="Arial"/>
                <w:color w:val="000000"/>
                <w:sz w:val="18"/>
                <w:szCs w:val="18"/>
                <w:lang w:val="uk-UA"/>
              </w:rPr>
            </w:pPr>
            <w:r w:rsidRPr="00A81BDF">
              <w:rPr>
                <w:rFonts w:ascii="Arial" w:hAnsi="Arial" w:cs="Arial"/>
                <w:color w:val="000000"/>
                <w:sz w:val="18"/>
                <w:szCs w:val="18"/>
              </w:rPr>
              <w:t>Печінкова недостатність, фіброз, цироз</w:t>
            </w:r>
            <w:r w:rsidRPr="00E221F6">
              <w:rPr>
                <w:rFonts w:ascii="Arial" w:hAnsi="Arial" w:cs="Arial"/>
                <w:color w:val="000000"/>
                <w:sz w:val="18"/>
                <w:szCs w:val="18"/>
                <w:lang w:val="uk-UA"/>
              </w:rPr>
              <w:t>,</w:t>
            </w:r>
            <w:r w:rsidRPr="00A81BDF">
              <w:rPr>
                <w:rFonts w:ascii="Arial" w:hAnsi="Arial" w:cs="Arial"/>
                <w:color w:val="000000"/>
                <w:sz w:val="18"/>
                <w:szCs w:val="18"/>
              </w:rPr>
              <w:t xml:space="preserve"> </w:t>
            </w:r>
            <w:r w:rsidR="00FE7B28">
              <w:rPr>
                <w:rFonts w:ascii="Arial" w:hAnsi="Arial" w:cs="Arial"/>
                <w:color w:val="000000"/>
                <w:sz w:val="18"/>
                <w:szCs w:val="18"/>
              </w:rPr>
              <w:t xml:space="preserve">стани, </w:t>
            </w:r>
            <w:r w:rsidRPr="00A81BDF">
              <w:rPr>
                <w:rFonts w:ascii="Arial" w:hAnsi="Arial" w:cs="Arial"/>
                <w:color w:val="000000"/>
                <w:sz w:val="18"/>
                <w:szCs w:val="18"/>
              </w:rPr>
              <w:t>пов'язані з пошкодженням печінки</w:t>
            </w:r>
          </w:p>
        </w:tc>
        <w:tc>
          <w:tcPr>
            <w:tcW w:w="2410" w:type="dxa"/>
            <w:tcBorders>
              <w:bottom w:val="single" w:sz="18" w:space="0" w:color="740000"/>
            </w:tcBorders>
            <w:shd w:val="clear" w:color="auto" w:fill="FBDDDD"/>
          </w:tcPr>
          <w:p w14:paraId="6093C7BE" w14:textId="77777777" w:rsidR="00E568A1" w:rsidRPr="00A81BDF" w:rsidRDefault="00E568A1" w:rsidP="00E221F6">
            <w:pPr>
              <w:autoSpaceDE w:val="0"/>
              <w:autoSpaceDN w:val="0"/>
              <w:adjustRightInd w:val="0"/>
              <w:spacing w:after="0" w:line="240" w:lineRule="auto"/>
              <w:jc w:val="center"/>
              <w:rPr>
                <w:rFonts w:ascii="Arial" w:hAnsi="Arial" w:cs="Arial"/>
                <w:color w:val="000000"/>
                <w:sz w:val="10"/>
                <w:szCs w:val="10"/>
              </w:rPr>
            </w:pPr>
          </w:p>
          <w:p w14:paraId="20629E17"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1 (1,25%)</w:t>
            </w:r>
          </w:p>
          <w:p w14:paraId="02579893"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uk-UA"/>
              </w:rPr>
            </w:pPr>
          </w:p>
        </w:tc>
        <w:tc>
          <w:tcPr>
            <w:tcW w:w="2693" w:type="dxa"/>
            <w:tcBorders>
              <w:bottom w:val="single" w:sz="18" w:space="0" w:color="740000"/>
            </w:tcBorders>
            <w:shd w:val="clear" w:color="auto" w:fill="FBDDDD"/>
          </w:tcPr>
          <w:p w14:paraId="7584E610"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0"/>
                <w:szCs w:val="10"/>
                <w:lang w:val="en-US"/>
              </w:rPr>
            </w:pPr>
          </w:p>
          <w:p w14:paraId="067AE988" w14:textId="77777777" w:rsidR="00E568A1" w:rsidRPr="00E221F6" w:rsidRDefault="00E568A1" w:rsidP="00E221F6">
            <w:pPr>
              <w:autoSpaceDE w:val="0"/>
              <w:autoSpaceDN w:val="0"/>
              <w:adjustRightInd w:val="0"/>
              <w:spacing w:after="0" w:line="240" w:lineRule="auto"/>
              <w:jc w:val="center"/>
              <w:rPr>
                <w:rFonts w:ascii="Arial" w:hAnsi="Arial" w:cs="Arial"/>
                <w:color w:val="000000"/>
                <w:sz w:val="18"/>
                <w:szCs w:val="18"/>
                <w:lang w:val="en-US"/>
              </w:rPr>
            </w:pPr>
            <w:r w:rsidRPr="00E221F6">
              <w:rPr>
                <w:rFonts w:ascii="Arial" w:hAnsi="Arial" w:cs="Arial"/>
                <w:color w:val="000000"/>
                <w:sz w:val="18"/>
                <w:szCs w:val="18"/>
                <w:lang w:val="en-US"/>
              </w:rPr>
              <w:t>0</w:t>
            </w:r>
          </w:p>
          <w:p w14:paraId="345DB83C" w14:textId="77777777" w:rsidR="00E568A1" w:rsidRPr="00E221F6" w:rsidRDefault="00E568A1" w:rsidP="00E221F6">
            <w:pPr>
              <w:autoSpaceDE w:val="0"/>
              <w:autoSpaceDN w:val="0"/>
              <w:adjustRightInd w:val="0"/>
              <w:spacing w:after="0" w:line="240" w:lineRule="auto"/>
              <w:jc w:val="center"/>
              <w:rPr>
                <w:rFonts w:ascii="Arial" w:hAnsi="Arial" w:cs="Arial"/>
                <w:b/>
                <w:bCs/>
                <w:color w:val="000000"/>
                <w:sz w:val="24"/>
                <w:szCs w:val="24"/>
                <w:lang w:val="uk-UA"/>
              </w:rPr>
            </w:pPr>
          </w:p>
        </w:tc>
      </w:tr>
      <w:tr w:rsidR="00E568A1" w:rsidRPr="00932F00" w14:paraId="2D75434A" w14:textId="77777777" w:rsidTr="00E221F6">
        <w:tc>
          <w:tcPr>
            <w:tcW w:w="4219" w:type="dxa"/>
            <w:tcBorders>
              <w:top w:val="single" w:sz="18" w:space="0" w:color="740000"/>
            </w:tcBorders>
          </w:tcPr>
          <w:p w14:paraId="45383FB9"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24"/>
                <w:szCs w:val="24"/>
                <w:lang w:val="en-US"/>
              </w:rPr>
            </w:pPr>
          </w:p>
        </w:tc>
        <w:tc>
          <w:tcPr>
            <w:tcW w:w="2410" w:type="dxa"/>
            <w:tcBorders>
              <w:top w:val="single" w:sz="18" w:space="0" w:color="740000"/>
            </w:tcBorders>
          </w:tcPr>
          <w:p w14:paraId="19F1888E"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24"/>
                <w:szCs w:val="24"/>
                <w:lang w:val="en-US"/>
              </w:rPr>
            </w:pPr>
          </w:p>
        </w:tc>
        <w:tc>
          <w:tcPr>
            <w:tcW w:w="2693" w:type="dxa"/>
            <w:tcBorders>
              <w:top w:val="single" w:sz="18" w:space="0" w:color="740000"/>
            </w:tcBorders>
          </w:tcPr>
          <w:p w14:paraId="62107C16"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24"/>
                <w:szCs w:val="24"/>
                <w:lang w:val="en-US"/>
              </w:rPr>
            </w:pPr>
          </w:p>
        </w:tc>
      </w:tr>
    </w:tbl>
    <w:p w14:paraId="06A34BEC" w14:textId="77777777" w:rsidR="00E568A1" w:rsidRPr="00FA063A" w:rsidRDefault="00E568A1" w:rsidP="0037724F">
      <w:pPr>
        <w:autoSpaceDE w:val="0"/>
        <w:autoSpaceDN w:val="0"/>
        <w:adjustRightInd w:val="0"/>
        <w:spacing w:after="0" w:line="240" w:lineRule="auto"/>
        <w:jc w:val="both"/>
        <w:rPr>
          <w:rFonts w:ascii="Arial" w:hAnsi="Arial" w:cs="Arial"/>
          <w:b/>
          <w:bCs/>
          <w:i/>
          <w:iCs/>
          <w:color w:val="6A2041"/>
          <w:sz w:val="26"/>
          <w:szCs w:val="26"/>
          <w:lang w:val="uk-UA"/>
        </w:rPr>
      </w:pPr>
      <w:r w:rsidRPr="00FA063A">
        <w:rPr>
          <w:rFonts w:ascii="Arial" w:hAnsi="Arial" w:cs="Arial"/>
          <w:b/>
          <w:bCs/>
          <w:i/>
          <w:iCs/>
          <w:color w:val="6A2041"/>
          <w:sz w:val="26"/>
          <w:szCs w:val="26"/>
          <w:lang w:val="uk-UA"/>
        </w:rPr>
        <w:t>Смертність</w:t>
      </w:r>
    </w:p>
    <w:p w14:paraId="41A44EA3" w14:textId="77777777" w:rsidR="00E568A1" w:rsidRPr="00D63087" w:rsidRDefault="00E568A1" w:rsidP="0037724F">
      <w:pPr>
        <w:autoSpaceDE w:val="0"/>
        <w:autoSpaceDN w:val="0"/>
        <w:adjustRightInd w:val="0"/>
        <w:spacing w:after="0" w:line="240" w:lineRule="auto"/>
        <w:jc w:val="both"/>
        <w:rPr>
          <w:rFonts w:ascii="Arial" w:hAnsi="Arial" w:cs="Arial"/>
          <w:color w:val="000000"/>
          <w:sz w:val="20"/>
          <w:szCs w:val="20"/>
          <w:lang w:val="en-US"/>
        </w:rPr>
      </w:pPr>
    </w:p>
    <w:p w14:paraId="57699C01" w14:textId="2811EFD8" w:rsidR="00E568A1" w:rsidRDefault="00E568A1" w:rsidP="0037724F">
      <w:pPr>
        <w:autoSpaceDE w:val="0"/>
        <w:autoSpaceDN w:val="0"/>
        <w:adjustRightInd w:val="0"/>
        <w:spacing w:after="0" w:line="240" w:lineRule="auto"/>
        <w:jc w:val="both"/>
        <w:rPr>
          <w:rFonts w:ascii="Arial" w:hAnsi="Arial" w:cs="Arial"/>
          <w:color w:val="000000"/>
          <w:lang w:val="uk-UA"/>
        </w:rPr>
      </w:pPr>
      <w:r w:rsidRPr="00237F77">
        <w:rPr>
          <w:rFonts w:ascii="Arial" w:hAnsi="Arial" w:cs="Arial"/>
          <w:color w:val="000000"/>
          <w:lang w:val="en-US"/>
        </w:rPr>
        <w:t>За</w:t>
      </w:r>
      <w:r w:rsidR="0050005D">
        <w:rPr>
          <w:rFonts w:ascii="Arial" w:hAnsi="Arial" w:cs="Arial"/>
          <w:color w:val="000000"/>
          <w:lang w:val="en-US"/>
        </w:rPr>
        <w:t xml:space="preserve"> результатами дослідження С208 </w:t>
      </w:r>
      <w:r w:rsidRPr="00237F77">
        <w:rPr>
          <w:rFonts w:ascii="Arial" w:hAnsi="Arial" w:cs="Arial"/>
          <w:color w:val="000000"/>
          <w:lang w:val="en-US"/>
        </w:rPr>
        <w:t>І-го етапу випробування повідомлялось про 4 випадки смерті: померли 2 з 2</w:t>
      </w:r>
      <w:r w:rsidR="00555255">
        <w:rPr>
          <w:rFonts w:ascii="Arial" w:hAnsi="Arial" w:cs="Arial"/>
          <w:color w:val="000000"/>
          <w:lang w:val="en-US"/>
        </w:rPr>
        <w:t>3 пацієнтів (8,7%) у групі беда</w:t>
      </w:r>
      <w:r w:rsidRPr="00237F77">
        <w:rPr>
          <w:rFonts w:ascii="Arial" w:hAnsi="Arial" w:cs="Arial"/>
          <w:color w:val="000000"/>
          <w:lang w:val="en-US"/>
        </w:rPr>
        <w:t>к</w:t>
      </w:r>
      <w:r w:rsidR="00555255">
        <w:rPr>
          <w:rFonts w:ascii="Arial" w:hAnsi="Arial" w:cs="Arial"/>
          <w:color w:val="000000"/>
          <w:lang w:val="en-US"/>
        </w:rPr>
        <w:t>ві</w:t>
      </w:r>
      <w:r w:rsidRPr="00237F77">
        <w:rPr>
          <w:rFonts w:ascii="Arial" w:hAnsi="Arial" w:cs="Arial"/>
          <w:color w:val="000000"/>
          <w:lang w:val="en-US"/>
        </w:rPr>
        <w:t xml:space="preserve">ліну та 2 з 24 пацієнтів (8,3%) у групі плацебо. </w:t>
      </w:r>
      <w:r w:rsidRPr="00237F77">
        <w:rPr>
          <w:rFonts w:ascii="Arial" w:hAnsi="Arial" w:cs="Arial"/>
          <w:color w:val="000000"/>
        </w:rPr>
        <w:t xml:space="preserve">У дослідженні </w:t>
      </w:r>
      <w:r w:rsidRPr="00237F77">
        <w:rPr>
          <w:rFonts w:ascii="Arial" w:hAnsi="Arial" w:cs="Arial"/>
          <w:color w:val="000000"/>
          <w:lang w:val="en-US"/>
        </w:rPr>
        <w:t>C</w:t>
      </w:r>
      <w:r w:rsidRPr="00237F77">
        <w:rPr>
          <w:rFonts w:ascii="Arial" w:hAnsi="Arial" w:cs="Arial"/>
          <w:color w:val="000000"/>
        </w:rPr>
        <w:t>208 ІІ етапу, було зафіксовано 12 випадк</w:t>
      </w:r>
      <w:r w:rsidR="00555255">
        <w:rPr>
          <w:rFonts w:ascii="Arial" w:hAnsi="Arial" w:cs="Arial"/>
          <w:color w:val="000000"/>
        </w:rPr>
        <w:t>ів смерті (незалежно від того, к</w:t>
      </w:r>
      <w:r w:rsidRPr="00237F77">
        <w:rPr>
          <w:rFonts w:ascii="Arial" w:hAnsi="Arial" w:cs="Arial"/>
          <w:color w:val="000000"/>
        </w:rPr>
        <w:t>оли сталися смерті). З них 10/79 (12,7%) були з групи бедаквіліну та 2/81 (2,5%) з групи плацебо (р = 0,017) (аналіз ІТТ).</w:t>
      </w:r>
      <w:r>
        <w:rPr>
          <w:rFonts w:ascii="Arial" w:hAnsi="Arial" w:cs="Arial"/>
          <w:color w:val="000000"/>
          <w:lang w:val="uk-UA"/>
        </w:rPr>
        <w:t xml:space="preserve"> </w:t>
      </w:r>
      <w:r w:rsidRPr="001551CC">
        <w:rPr>
          <w:rFonts w:ascii="Arial" w:hAnsi="Arial" w:cs="Arial"/>
          <w:color w:val="000000"/>
          <w:lang w:val="uk-UA"/>
        </w:rPr>
        <w:t>У групі бедакв</w:t>
      </w:r>
      <w:r w:rsidR="00555255">
        <w:rPr>
          <w:rFonts w:ascii="Arial" w:hAnsi="Arial" w:cs="Arial"/>
          <w:color w:val="000000"/>
          <w:lang w:val="uk-UA"/>
        </w:rPr>
        <w:t xml:space="preserve">іліну 8 з 10 смертей </w:t>
      </w:r>
      <w:r w:rsidR="00960C95">
        <w:rPr>
          <w:rFonts w:ascii="Arial" w:hAnsi="Arial" w:cs="Arial"/>
          <w:color w:val="000000"/>
          <w:lang w:val="uk-UA"/>
        </w:rPr>
        <w:t>було зареєстровано</w:t>
      </w:r>
      <w:r w:rsidR="00555255">
        <w:rPr>
          <w:rFonts w:ascii="Arial" w:hAnsi="Arial" w:cs="Arial"/>
          <w:color w:val="000000"/>
          <w:lang w:val="uk-UA"/>
        </w:rPr>
        <w:t xml:space="preserve"> </w:t>
      </w:r>
      <w:r w:rsidR="00555255">
        <w:rPr>
          <w:rFonts w:ascii="Arial" w:hAnsi="Arial" w:cs="Arial"/>
          <w:color w:val="000000"/>
          <w:lang w:val="uk-UA"/>
        </w:rPr>
        <w:lastRenderedPageBreak/>
        <w:t xml:space="preserve">серед </w:t>
      </w:r>
      <w:r w:rsidR="00960C95">
        <w:rPr>
          <w:rFonts w:ascii="Arial" w:hAnsi="Arial" w:cs="Arial"/>
          <w:color w:val="000000"/>
          <w:lang w:val="uk-UA"/>
        </w:rPr>
        <w:t xml:space="preserve">тих </w:t>
      </w:r>
      <w:r w:rsidR="00555255">
        <w:rPr>
          <w:rFonts w:ascii="Arial" w:hAnsi="Arial" w:cs="Arial"/>
          <w:color w:val="000000"/>
          <w:lang w:val="uk-UA"/>
        </w:rPr>
        <w:t>учасників</w:t>
      </w:r>
      <w:r w:rsidR="00960C95">
        <w:rPr>
          <w:rFonts w:ascii="Arial" w:hAnsi="Arial" w:cs="Arial"/>
          <w:color w:val="000000"/>
          <w:lang w:val="uk-UA"/>
        </w:rPr>
        <w:t>, в яких була виявлена конверсія</w:t>
      </w:r>
      <w:r w:rsidR="00555255">
        <w:rPr>
          <w:rFonts w:ascii="Arial" w:hAnsi="Arial" w:cs="Arial"/>
          <w:color w:val="000000"/>
          <w:lang w:val="uk-UA"/>
        </w:rPr>
        <w:t xml:space="preserve"> культури</w:t>
      </w:r>
      <w:r w:rsidRPr="001551CC">
        <w:rPr>
          <w:rFonts w:ascii="Arial" w:hAnsi="Arial" w:cs="Arial"/>
          <w:color w:val="000000"/>
          <w:lang w:val="uk-UA"/>
        </w:rPr>
        <w:t xml:space="preserve">. ТБ </w:t>
      </w:r>
      <w:r w:rsidR="00960C95">
        <w:rPr>
          <w:rFonts w:ascii="Arial" w:hAnsi="Arial" w:cs="Arial"/>
          <w:color w:val="000000"/>
          <w:lang w:val="uk-UA"/>
        </w:rPr>
        <w:t>став причиною смерті</w:t>
      </w:r>
      <w:r w:rsidR="00B7241F">
        <w:rPr>
          <w:rFonts w:ascii="Arial" w:hAnsi="Arial" w:cs="Arial"/>
          <w:color w:val="000000"/>
          <w:lang w:val="uk-UA"/>
        </w:rPr>
        <w:t xml:space="preserve"> у двох учасників з групи плацебо та </w:t>
      </w:r>
      <w:r w:rsidRPr="001551CC">
        <w:rPr>
          <w:rFonts w:ascii="Arial" w:hAnsi="Arial" w:cs="Arial"/>
          <w:color w:val="000000"/>
          <w:lang w:val="uk-UA"/>
        </w:rPr>
        <w:t>5 з 10 випадків смерті</w:t>
      </w:r>
      <w:r w:rsidR="00B7241F">
        <w:rPr>
          <w:rFonts w:ascii="Arial" w:hAnsi="Arial" w:cs="Arial"/>
          <w:color w:val="000000"/>
          <w:lang w:val="uk-UA"/>
        </w:rPr>
        <w:t xml:space="preserve"> </w:t>
      </w:r>
      <w:r w:rsidRPr="001551CC">
        <w:rPr>
          <w:rFonts w:ascii="Arial" w:hAnsi="Arial" w:cs="Arial"/>
          <w:color w:val="000000"/>
          <w:lang w:val="uk-UA"/>
        </w:rPr>
        <w:t>у групі бедаквіліл</w:t>
      </w:r>
      <w:r w:rsidR="009B2954">
        <w:rPr>
          <w:rFonts w:ascii="Arial" w:hAnsi="Arial" w:cs="Arial"/>
          <w:color w:val="000000"/>
          <w:lang w:val="uk-UA"/>
        </w:rPr>
        <w:t xml:space="preserve">іну (випадки трапилися поза лікування </w:t>
      </w:r>
      <w:r w:rsidRPr="001551CC">
        <w:rPr>
          <w:rFonts w:ascii="Arial" w:hAnsi="Arial" w:cs="Arial"/>
          <w:color w:val="000000"/>
          <w:lang w:val="uk-UA"/>
        </w:rPr>
        <w:t>бедаквіліном)</w:t>
      </w:r>
      <w:r w:rsidR="009B2954">
        <w:rPr>
          <w:rFonts w:ascii="Arial" w:hAnsi="Arial" w:cs="Arial"/>
          <w:color w:val="000000"/>
          <w:lang w:val="uk-UA"/>
        </w:rPr>
        <w:t xml:space="preserve">. Підрахунок летальних випадків </w:t>
      </w:r>
      <w:r w:rsidR="009A63F0">
        <w:rPr>
          <w:rFonts w:ascii="Arial" w:hAnsi="Arial" w:cs="Arial"/>
          <w:color w:val="000000"/>
          <w:lang w:val="uk-UA"/>
        </w:rPr>
        <w:t>на 120 тиждень</w:t>
      </w:r>
      <w:r w:rsidRPr="001551CC">
        <w:rPr>
          <w:rFonts w:ascii="Arial" w:hAnsi="Arial" w:cs="Arial"/>
          <w:color w:val="000000"/>
          <w:lang w:val="uk-UA"/>
        </w:rPr>
        <w:t xml:space="preserve"> виявив дев'ять смертей у групі бедаквіліну та одну -  у групі плацебо.</w:t>
      </w:r>
      <w:r>
        <w:rPr>
          <w:rFonts w:ascii="Arial" w:hAnsi="Arial" w:cs="Arial"/>
          <w:color w:val="000000"/>
          <w:lang w:val="uk-UA"/>
        </w:rPr>
        <w:t xml:space="preserve"> </w:t>
      </w:r>
      <w:r w:rsidRPr="0046005D">
        <w:rPr>
          <w:rFonts w:ascii="Arial" w:hAnsi="Arial" w:cs="Arial"/>
          <w:color w:val="000000"/>
          <w:lang w:val="uk-UA"/>
        </w:rPr>
        <w:t xml:space="preserve">Не було помітної різниці картини між летальним випадком та конверсією культури, рецидивом, мікробіологічною реакцією, сприйнятливістю до препаратів, що застосовуються </w:t>
      </w:r>
      <w:r w:rsidR="009B2954">
        <w:rPr>
          <w:rFonts w:ascii="Arial" w:hAnsi="Arial" w:cs="Arial"/>
          <w:color w:val="000000"/>
          <w:lang w:val="uk-UA"/>
        </w:rPr>
        <w:t>у складі фонового режиму</w:t>
      </w:r>
      <w:r w:rsidRPr="0046005D">
        <w:rPr>
          <w:rFonts w:ascii="Arial" w:hAnsi="Arial" w:cs="Arial"/>
          <w:color w:val="000000"/>
          <w:lang w:val="uk-UA"/>
        </w:rPr>
        <w:t xml:space="preserve"> лікування, ВІЛ-статусом або тяжкістю захворювання. Н</w:t>
      </w:r>
      <w:r w:rsidR="00683BCA">
        <w:rPr>
          <w:rFonts w:ascii="Arial" w:hAnsi="Arial" w:cs="Arial"/>
          <w:color w:val="000000"/>
          <w:lang w:val="uk-UA"/>
        </w:rPr>
        <w:t>е дивлячись на детальний перелік</w:t>
      </w:r>
      <w:r w:rsidRPr="0046005D">
        <w:rPr>
          <w:rFonts w:ascii="Arial" w:hAnsi="Arial" w:cs="Arial"/>
          <w:color w:val="000000"/>
          <w:lang w:val="uk-UA"/>
        </w:rPr>
        <w:t xml:space="preserve"> всі</w:t>
      </w:r>
      <w:r w:rsidR="00683BCA">
        <w:rPr>
          <w:rFonts w:ascii="Arial" w:hAnsi="Arial" w:cs="Arial"/>
          <w:color w:val="000000"/>
          <w:lang w:val="uk-UA"/>
        </w:rPr>
        <w:t>х летальних випадків</w:t>
      </w:r>
      <w:r w:rsidRPr="0046005D">
        <w:rPr>
          <w:rFonts w:ascii="Arial" w:hAnsi="Arial" w:cs="Arial"/>
          <w:color w:val="000000"/>
          <w:lang w:val="uk-UA"/>
        </w:rPr>
        <w:t>, причина(и) дисбалансу не була зрозумілою.</w:t>
      </w:r>
    </w:p>
    <w:p w14:paraId="0992B592" w14:textId="77777777" w:rsidR="00E568A1" w:rsidRPr="006218F2" w:rsidRDefault="00E568A1" w:rsidP="0037724F">
      <w:pPr>
        <w:autoSpaceDE w:val="0"/>
        <w:autoSpaceDN w:val="0"/>
        <w:adjustRightInd w:val="0"/>
        <w:spacing w:after="0" w:line="240" w:lineRule="auto"/>
        <w:jc w:val="both"/>
        <w:rPr>
          <w:rFonts w:ascii="Arial" w:hAnsi="Arial" w:cs="Arial"/>
          <w:color w:val="000000"/>
          <w:szCs w:val="24"/>
          <w:lang w:val="uk-UA"/>
        </w:rPr>
      </w:pPr>
    </w:p>
    <w:p w14:paraId="5C4C6865" w14:textId="33F8539F" w:rsidR="00E568A1" w:rsidRPr="005A0E34" w:rsidRDefault="00E568A1" w:rsidP="009B51D9">
      <w:pPr>
        <w:autoSpaceDE w:val="0"/>
        <w:autoSpaceDN w:val="0"/>
        <w:adjustRightInd w:val="0"/>
        <w:spacing w:after="0" w:line="240" w:lineRule="auto"/>
        <w:jc w:val="center"/>
        <w:outlineLvl w:val="0"/>
        <w:rPr>
          <w:rFonts w:ascii="Arial" w:hAnsi="Arial" w:cs="Arial"/>
          <w:b/>
          <w:bCs/>
          <w:color w:val="000000"/>
          <w:sz w:val="24"/>
          <w:szCs w:val="24"/>
        </w:rPr>
      </w:pPr>
      <w:r w:rsidRPr="00A81BDF">
        <w:rPr>
          <w:rFonts w:ascii="Arial" w:hAnsi="Arial" w:cs="Arial"/>
          <w:b/>
          <w:bCs/>
          <w:color w:val="000000"/>
          <w:sz w:val="24"/>
          <w:szCs w:val="24"/>
        </w:rPr>
        <w:t xml:space="preserve">Таблиця 5. </w:t>
      </w:r>
      <w:r>
        <w:rPr>
          <w:rFonts w:ascii="Arial" w:hAnsi="Arial" w:cs="Arial"/>
          <w:b/>
          <w:bCs/>
          <w:color w:val="000000"/>
          <w:sz w:val="24"/>
          <w:szCs w:val="24"/>
          <w:lang w:val="uk-UA"/>
        </w:rPr>
        <w:t xml:space="preserve">Дослідження </w:t>
      </w:r>
      <w:r>
        <w:rPr>
          <w:rFonts w:ascii="Arial" w:hAnsi="Arial" w:cs="Arial"/>
          <w:b/>
          <w:bCs/>
          <w:color w:val="000000"/>
          <w:sz w:val="24"/>
          <w:szCs w:val="24"/>
          <w:lang w:val="en-US"/>
        </w:rPr>
        <w:t>C</w:t>
      </w:r>
      <w:r w:rsidRPr="005A0E34">
        <w:rPr>
          <w:rFonts w:ascii="Arial" w:hAnsi="Arial" w:cs="Arial"/>
          <w:b/>
          <w:bCs/>
          <w:color w:val="000000"/>
          <w:sz w:val="24"/>
          <w:szCs w:val="24"/>
        </w:rPr>
        <w:t>208</w:t>
      </w:r>
      <w:r>
        <w:rPr>
          <w:rFonts w:ascii="Arial" w:hAnsi="Arial" w:cs="Arial"/>
          <w:b/>
          <w:bCs/>
          <w:color w:val="000000"/>
          <w:sz w:val="24"/>
          <w:szCs w:val="24"/>
          <w:lang w:val="uk-UA"/>
        </w:rPr>
        <w:t xml:space="preserve">, </w:t>
      </w:r>
      <w:r w:rsidR="0006502C">
        <w:rPr>
          <w:rFonts w:ascii="Arial" w:hAnsi="Arial" w:cs="Arial"/>
          <w:b/>
          <w:bCs/>
          <w:color w:val="000000"/>
          <w:sz w:val="24"/>
          <w:szCs w:val="24"/>
          <w:lang w:val="uk-UA"/>
        </w:rPr>
        <w:t xml:space="preserve">2-й </w:t>
      </w:r>
      <w:r w:rsidRPr="005A0E34">
        <w:rPr>
          <w:rFonts w:ascii="Arial" w:hAnsi="Arial" w:cs="Arial"/>
          <w:b/>
          <w:bCs/>
          <w:color w:val="000000"/>
          <w:sz w:val="24"/>
          <w:szCs w:val="24"/>
        </w:rPr>
        <w:t>Етап</w:t>
      </w:r>
      <w:r>
        <w:rPr>
          <w:rFonts w:ascii="Arial" w:hAnsi="Arial" w:cs="Arial"/>
          <w:b/>
          <w:bCs/>
          <w:color w:val="000000"/>
          <w:sz w:val="24"/>
          <w:szCs w:val="24"/>
        </w:rPr>
        <w:t xml:space="preserve">: </w:t>
      </w:r>
      <w:r>
        <w:rPr>
          <w:rFonts w:ascii="Arial" w:hAnsi="Arial" w:cs="Arial"/>
          <w:b/>
          <w:bCs/>
          <w:color w:val="000000"/>
          <w:sz w:val="24"/>
          <w:szCs w:val="24"/>
          <w:lang w:val="uk-UA"/>
        </w:rPr>
        <w:t>п</w:t>
      </w:r>
      <w:r w:rsidRPr="005A0E34">
        <w:rPr>
          <w:rFonts w:ascii="Arial" w:hAnsi="Arial" w:cs="Arial"/>
          <w:b/>
          <w:bCs/>
          <w:color w:val="000000"/>
          <w:sz w:val="24"/>
          <w:szCs w:val="24"/>
        </w:rPr>
        <w:t>ричини смерті</w:t>
      </w:r>
    </w:p>
    <w:p w14:paraId="7A4DDA08" w14:textId="77777777" w:rsidR="00E568A1" w:rsidRPr="005A0E34" w:rsidRDefault="00E568A1" w:rsidP="009B51D9">
      <w:pPr>
        <w:autoSpaceDE w:val="0"/>
        <w:autoSpaceDN w:val="0"/>
        <w:adjustRightInd w:val="0"/>
        <w:spacing w:after="0" w:line="240" w:lineRule="auto"/>
        <w:outlineLvl w:val="0"/>
        <w:rPr>
          <w:rFonts w:ascii="Arial" w:hAnsi="Arial" w:cs="Arial"/>
          <w:b/>
          <w:bCs/>
          <w:color w:val="000000"/>
          <w:sz w:val="18"/>
          <w:szCs w:val="18"/>
          <w:lang w:val="en-US"/>
        </w:rPr>
      </w:pPr>
      <w:r w:rsidRPr="005A0E34">
        <w:rPr>
          <w:rFonts w:ascii="Arial" w:hAnsi="Arial" w:cs="Arial"/>
          <w:b/>
          <w:bCs/>
          <w:color w:val="FFFFFF"/>
          <w:sz w:val="18"/>
          <w:szCs w:val="18"/>
        </w:rPr>
        <w:t xml:space="preserve"> </w:t>
      </w:r>
      <w:r w:rsidRPr="00255826">
        <w:rPr>
          <w:rFonts w:ascii="Arial" w:hAnsi="Arial" w:cs="Arial"/>
          <w:b/>
          <w:bCs/>
          <w:color w:val="FFFFFF"/>
          <w:sz w:val="18"/>
          <w:szCs w:val="18"/>
          <w:lang w:val="en-US"/>
        </w:rPr>
        <w:t>Treat</w:t>
      </w:r>
      <w:r>
        <w:rPr>
          <w:rFonts w:ascii="Arial" w:hAnsi="Arial" w:cs="Arial"/>
          <w:b/>
          <w:bCs/>
          <w:color w:val="FFFFFF"/>
          <w:sz w:val="18"/>
          <w:szCs w:val="18"/>
          <w:lang w:val="en-US"/>
        </w:rPr>
        <w:t xml:space="preserve">ment arm Category </w:t>
      </w:r>
    </w:p>
    <w:tbl>
      <w:tblPr>
        <w:tblW w:w="0" w:type="auto"/>
        <w:tblLook w:val="00A0" w:firstRow="1" w:lastRow="0" w:firstColumn="1" w:lastColumn="0" w:noHBand="0" w:noVBand="0"/>
      </w:tblPr>
      <w:tblGrid>
        <w:gridCol w:w="1514"/>
        <w:gridCol w:w="1397"/>
        <w:gridCol w:w="3780"/>
        <w:gridCol w:w="2664"/>
      </w:tblGrid>
      <w:tr w:rsidR="00E568A1" w:rsidRPr="005A0E34" w14:paraId="2C2A88FD" w14:textId="77777777" w:rsidTr="00E221F6">
        <w:tc>
          <w:tcPr>
            <w:tcW w:w="1526" w:type="dxa"/>
            <w:shd w:val="clear" w:color="auto" w:fill="920000"/>
          </w:tcPr>
          <w:p w14:paraId="17B261F7"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en-US"/>
              </w:rPr>
            </w:pPr>
          </w:p>
          <w:p w14:paraId="3164FA5A" w14:textId="77777777" w:rsidR="00E568A1" w:rsidRPr="00E221F6" w:rsidRDefault="00E568A1" w:rsidP="00E221F6">
            <w:pPr>
              <w:autoSpaceDE w:val="0"/>
              <w:autoSpaceDN w:val="0"/>
              <w:adjustRightInd w:val="0"/>
              <w:spacing w:after="0" w:line="240" w:lineRule="auto"/>
              <w:rPr>
                <w:rFonts w:ascii="Arial" w:hAnsi="Arial" w:cs="Arial"/>
                <w:b/>
                <w:bCs/>
                <w:color w:val="FFFFFF"/>
                <w:sz w:val="21"/>
                <w:szCs w:val="21"/>
                <w:lang w:val="uk-UA"/>
              </w:rPr>
            </w:pPr>
            <w:r w:rsidRPr="00E221F6">
              <w:rPr>
                <w:rFonts w:ascii="Arial" w:hAnsi="Arial" w:cs="Arial"/>
                <w:b/>
                <w:bCs/>
                <w:color w:val="FFFFFF"/>
                <w:sz w:val="21"/>
                <w:szCs w:val="21"/>
                <w:lang w:val="uk-UA"/>
              </w:rPr>
              <w:t>Пацієнт</w:t>
            </w:r>
          </w:p>
          <w:p w14:paraId="09E51C53" w14:textId="77777777" w:rsidR="00E568A1" w:rsidRPr="00E221F6" w:rsidRDefault="00E568A1" w:rsidP="00E221F6">
            <w:pPr>
              <w:autoSpaceDE w:val="0"/>
              <w:autoSpaceDN w:val="0"/>
              <w:adjustRightInd w:val="0"/>
              <w:spacing w:after="0" w:line="240" w:lineRule="auto"/>
              <w:rPr>
                <w:rFonts w:ascii="Arial" w:hAnsi="Arial" w:cs="Arial"/>
                <w:b/>
                <w:bCs/>
                <w:color w:val="FFFFFF"/>
                <w:sz w:val="21"/>
                <w:szCs w:val="21"/>
                <w:lang w:val="en-US"/>
              </w:rPr>
            </w:pPr>
          </w:p>
          <w:p w14:paraId="357C5686"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en-US"/>
              </w:rPr>
            </w:pPr>
          </w:p>
        </w:tc>
        <w:tc>
          <w:tcPr>
            <w:tcW w:w="1402" w:type="dxa"/>
            <w:shd w:val="clear" w:color="auto" w:fill="920000"/>
          </w:tcPr>
          <w:p w14:paraId="7E101942"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en-US"/>
              </w:rPr>
            </w:pPr>
          </w:p>
          <w:p w14:paraId="4AA5FD3A" w14:textId="77777777" w:rsidR="00E568A1" w:rsidRPr="00E221F6" w:rsidRDefault="00E568A1" w:rsidP="00E221F6">
            <w:pPr>
              <w:autoSpaceDE w:val="0"/>
              <w:autoSpaceDN w:val="0"/>
              <w:adjustRightInd w:val="0"/>
              <w:spacing w:after="0" w:line="240" w:lineRule="auto"/>
              <w:rPr>
                <w:rFonts w:ascii="Arial" w:hAnsi="Arial" w:cs="Arial"/>
                <w:b/>
                <w:bCs/>
                <w:color w:val="FFFFFF"/>
                <w:sz w:val="21"/>
                <w:szCs w:val="21"/>
                <w:lang w:val="uk-UA"/>
              </w:rPr>
            </w:pPr>
            <w:r w:rsidRPr="00E221F6">
              <w:rPr>
                <w:rFonts w:ascii="Arial" w:hAnsi="Arial" w:cs="Arial"/>
                <w:b/>
                <w:bCs/>
                <w:color w:val="FFFFFF"/>
                <w:sz w:val="21"/>
                <w:szCs w:val="21"/>
                <w:lang w:val="uk-UA"/>
              </w:rPr>
              <w:t>Група пацієнтів</w:t>
            </w:r>
          </w:p>
          <w:p w14:paraId="5CF06479"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uk-UA"/>
              </w:rPr>
            </w:pPr>
          </w:p>
        </w:tc>
        <w:tc>
          <w:tcPr>
            <w:tcW w:w="3843" w:type="dxa"/>
            <w:shd w:val="clear" w:color="auto" w:fill="920000"/>
          </w:tcPr>
          <w:p w14:paraId="0D4B5DF6"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en-US"/>
              </w:rPr>
            </w:pPr>
          </w:p>
          <w:p w14:paraId="1F605E57" w14:textId="77777777" w:rsidR="00E568A1" w:rsidRPr="00E221F6" w:rsidRDefault="00E568A1" w:rsidP="00E221F6">
            <w:pPr>
              <w:autoSpaceDE w:val="0"/>
              <w:autoSpaceDN w:val="0"/>
              <w:adjustRightInd w:val="0"/>
              <w:spacing w:after="0" w:line="240" w:lineRule="auto"/>
              <w:rPr>
                <w:rFonts w:ascii="Arial" w:hAnsi="Arial" w:cs="Arial"/>
                <w:b/>
                <w:bCs/>
                <w:color w:val="FFFFFF"/>
                <w:sz w:val="21"/>
                <w:szCs w:val="21"/>
                <w:lang w:val="uk-UA"/>
              </w:rPr>
            </w:pPr>
            <w:r w:rsidRPr="00E221F6">
              <w:rPr>
                <w:rFonts w:ascii="Arial" w:hAnsi="Arial" w:cs="Arial"/>
                <w:b/>
                <w:bCs/>
                <w:color w:val="FFFFFF"/>
                <w:sz w:val="21"/>
                <w:szCs w:val="21"/>
                <w:lang w:val="uk-UA"/>
              </w:rPr>
              <w:t>Категорія</w:t>
            </w:r>
          </w:p>
        </w:tc>
        <w:tc>
          <w:tcPr>
            <w:tcW w:w="2693" w:type="dxa"/>
            <w:shd w:val="clear" w:color="auto" w:fill="920000"/>
          </w:tcPr>
          <w:p w14:paraId="4F0FFD61" w14:textId="77777777" w:rsidR="00E568A1" w:rsidRPr="00E221F6" w:rsidRDefault="00E568A1" w:rsidP="00E221F6">
            <w:pPr>
              <w:autoSpaceDE w:val="0"/>
              <w:autoSpaceDN w:val="0"/>
              <w:adjustRightInd w:val="0"/>
              <w:spacing w:after="0" w:line="240" w:lineRule="auto"/>
              <w:rPr>
                <w:rFonts w:ascii="Arial" w:hAnsi="Arial" w:cs="Arial"/>
                <w:b/>
                <w:bCs/>
                <w:color w:val="FFFFFF"/>
                <w:sz w:val="10"/>
                <w:szCs w:val="10"/>
                <w:lang w:val="uk-UA"/>
              </w:rPr>
            </w:pPr>
          </w:p>
          <w:p w14:paraId="337860E9" w14:textId="77777777" w:rsidR="00E568A1" w:rsidRPr="00E221F6" w:rsidRDefault="00E568A1" w:rsidP="00E221F6">
            <w:pPr>
              <w:autoSpaceDE w:val="0"/>
              <w:autoSpaceDN w:val="0"/>
              <w:adjustRightInd w:val="0"/>
              <w:spacing w:after="0" w:line="240" w:lineRule="auto"/>
              <w:rPr>
                <w:rFonts w:ascii="Arial" w:hAnsi="Arial" w:cs="Arial"/>
                <w:b/>
                <w:bCs/>
                <w:color w:val="FFFFFF"/>
                <w:sz w:val="21"/>
                <w:szCs w:val="21"/>
                <w:lang w:val="uk-UA"/>
              </w:rPr>
            </w:pPr>
            <w:r w:rsidRPr="00E221F6">
              <w:rPr>
                <w:rFonts w:ascii="Arial" w:hAnsi="Arial" w:cs="Arial"/>
                <w:b/>
                <w:bCs/>
                <w:color w:val="FFFFFF"/>
                <w:sz w:val="21"/>
                <w:szCs w:val="21"/>
                <w:lang w:val="uk-UA"/>
              </w:rPr>
              <w:t>Причина смерті</w:t>
            </w:r>
          </w:p>
        </w:tc>
      </w:tr>
      <w:tr w:rsidR="00E568A1" w:rsidRPr="005A0E34" w14:paraId="44437B41" w14:textId="77777777" w:rsidTr="00E221F6">
        <w:tc>
          <w:tcPr>
            <w:tcW w:w="9464" w:type="dxa"/>
            <w:gridSpan w:val="4"/>
            <w:shd w:val="clear" w:color="auto" w:fill="F3A3A3"/>
          </w:tcPr>
          <w:p w14:paraId="76D60A2E" w14:textId="77777777" w:rsidR="00E568A1" w:rsidRPr="00E221F6" w:rsidRDefault="00E568A1" w:rsidP="00E221F6">
            <w:pPr>
              <w:autoSpaceDE w:val="0"/>
              <w:autoSpaceDN w:val="0"/>
              <w:adjustRightInd w:val="0"/>
              <w:spacing w:after="0" w:line="240" w:lineRule="auto"/>
              <w:rPr>
                <w:rFonts w:ascii="Arial" w:hAnsi="Arial" w:cs="Arial"/>
                <w:b/>
                <w:bCs/>
                <w:i/>
                <w:color w:val="000000"/>
                <w:sz w:val="10"/>
                <w:szCs w:val="10"/>
                <w:lang w:val="uk-UA"/>
              </w:rPr>
            </w:pPr>
          </w:p>
          <w:p w14:paraId="0C51705D" w14:textId="77777777" w:rsidR="00E568A1" w:rsidRPr="00E221F6" w:rsidRDefault="00E568A1" w:rsidP="00E221F6">
            <w:pPr>
              <w:autoSpaceDE w:val="0"/>
              <w:autoSpaceDN w:val="0"/>
              <w:adjustRightInd w:val="0"/>
              <w:spacing w:after="0" w:line="240" w:lineRule="auto"/>
              <w:rPr>
                <w:rFonts w:ascii="Arial" w:hAnsi="Arial" w:cs="Arial"/>
                <w:b/>
                <w:bCs/>
                <w:i/>
                <w:color w:val="000000"/>
                <w:sz w:val="18"/>
                <w:szCs w:val="18"/>
                <w:lang w:val="uk-UA"/>
              </w:rPr>
            </w:pPr>
            <w:r w:rsidRPr="00E221F6">
              <w:rPr>
                <w:rFonts w:ascii="Arial" w:hAnsi="Arial" w:cs="Arial"/>
                <w:b/>
                <w:bCs/>
                <w:i/>
                <w:color w:val="000000"/>
                <w:sz w:val="18"/>
                <w:szCs w:val="18"/>
                <w:lang w:val="uk-UA"/>
              </w:rPr>
              <w:t xml:space="preserve">Смертельні випадки під </w:t>
            </w:r>
            <w:r w:rsidR="0006502C">
              <w:rPr>
                <w:rFonts w:ascii="Arial" w:hAnsi="Arial" w:cs="Arial"/>
                <w:b/>
                <w:bCs/>
                <w:i/>
                <w:color w:val="000000"/>
                <w:sz w:val="18"/>
                <w:szCs w:val="18"/>
                <w:lang w:val="uk-UA"/>
              </w:rPr>
              <w:t xml:space="preserve">час </w:t>
            </w:r>
            <w:r w:rsidRPr="00E221F6">
              <w:rPr>
                <w:rFonts w:ascii="Arial" w:hAnsi="Arial" w:cs="Arial"/>
                <w:b/>
                <w:bCs/>
                <w:i/>
                <w:color w:val="000000"/>
                <w:sz w:val="18"/>
                <w:szCs w:val="18"/>
                <w:lang w:val="uk-UA"/>
              </w:rPr>
              <w:t>проведення випробування</w:t>
            </w:r>
          </w:p>
          <w:p w14:paraId="2B5057C2" w14:textId="77777777" w:rsidR="00E568A1" w:rsidRPr="00E221F6" w:rsidRDefault="00E568A1" w:rsidP="00E221F6">
            <w:pPr>
              <w:autoSpaceDE w:val="0"/>
              <w:autoSpaceDN w:val="0"/>
              <w:adjustRightInd w:val="0"/>
              <w:spacing w:after="0" w:line="240" w:lineRule="auto"/>
              <w:rPr>
                <w:rFonts w:ascii="Arial" w:hAnsi="Arial" w:cs="Arial"/>
                <w:b/>
                <w:bCs/>
                <w:i/>
                <w:color w:val="000000"/>
                <w:sz w:val="10"/>
                <w:szCs w:val="10"/>
                <w:lang w:val="uk-UA"/>
              </w:rPr>
            </w:pPr>
          </w:p>
        </w:tc>
      </w:tr>
      <w:tr w:rsidR="00E568A1" w:rsidRPr="00E63386" w14:paraId="67DC9DE6" w14:textId="77777777" w:rsidTr="00E221F6">
        <w:tc>
          <w:tcPr>
            <w:tcW w:w="1526" w:type="dxa"/>
            <w:shd w:val="clear" w:color="auto" w:fill="FDEDED"/>
          </w:tcPr>
          <w:p w14:paraId="6BDC34EB" w14:textId="77777777" w:rsidR="0006502C" w:rsidRPr="0006502C" w:rsidRDefault="0006502C" w:rsidP="00E221F6">
            <w:pPr>
              <w:autoSpaceDE w:val="0"/>
              <w:autoSpaceDN w:val="0"/>
              <w:adjustRightInd w:val="0"/>
              <w:spacing w:after="0" w:line="240" w:lineRule="auto"/>
              <w:rPr>
                <w:rFonts w:ascii="Arial" w:hAnsi="Arial" w:cs="Arial"/>
                <w:color w:val="000000"/>
                <w:sz w:val="18"/>
                <w:szCs w:val="18"/>
              </w:rPr>
            </w:pPr>
          </w:p>
          <w:p w14:paraId="79E70012"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r w:rsidRPr="00E221F6">
              <w:rPr>
                <w:rFonts w:ascii="Arial" w:hAnsi="Arial" w:cs="Arial"/>
                <w:color w:val="000000"/>
                <w:sz w:val="18"/>
                <w:szCs w:val="18"/>
                <w:lang w:val="en-US"/>
              </w:rPr>
              <w:t>208–4041</w:t>
            </w:r>
          </w:p>
        </w:tc>
        <w:tc>
          <w:tcPr>
            <w:tcW w:w="1402" w:type="dxa"/>
            <w:shd w:val="clear" w:color="auto" w:fill="FDEDED"/>
          </w:tcPr>
          <w:p w14:paraId="2DFAB78A" w14:textId="77777777" w:rsidR="0006502C" w:rsidRDefault="0006502C" w:rsidP="00E221F6">
            <w:pPr>
              <w:autoSpaceDE w:val="0"/>
              <w:autoSpaceDN w:val="0"/>
              <w:adjustRightInd w:val="0"/>
              <w:spacing w:after="0" w:line="240" w:lineRule="auto"/>
              <w:jc w:val="both"/>
              <w:rPr>
                <w:rFonts w:ascii="Arial" w:hAnsi="Arial" w:cs="Arial"/>
                <w:color w:val="000000"/>
                <w:sz w:val="18"/>
                <w:szCs w:val="18"/>
                <w:lang w:val="uk-UA"/>
              </w:rPr>
            </w:pPr>
          </w:p>
          <w:p w14:paraId="065FEC7F"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uk-UA"/>
              </w:rPr>
              <w:t>Бедаквілін</w:t>
            </w:r>
            <w:r w:rsidRPr="00E221F6">
              <w:rPr>
                <w:rFonts w:ascii="Arial" w:hAnsi="Arial" w:cs="Arial"/>
                <w:color w:val="000000"/>
                <w:sz w:val="18"/>
                <w:szCs w:val="18"/>
                <w:lang w:val="en-US"/>
              </w:rPr>
              <w:t xml:space="preserve"> </w:t>
            </w:r>
          </w:p>
          <w:p w14:paraId="290082EE"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c>
          <w:tcPr>
            <w:tcW w:w="3843" w:type="dxa"/>
            <w:shd w:val="clear" w:color="auto" w:fill="FDEDED"/>
          </w:tcPr>
          <w:p w14:paraId="13ABA02F" w14:textId="77777777" w:rsidR="0006502C" w:rsidRDefault="0006502C" w:rsidP="00E221F6">
            <w:pPr>
              <w:autoSpaceDE w:val="0"/>
              <w:autoSpaceDN w:val="0"/>
              <w:adjustRightInd w:val="0"/>
              <w:spacing w:after="0" w:line="240" w:lineRule="auto"/>
              <w:rPr>
                <w:rFonts w:ascii="Arial" w:hAnsi="Arial" w:cs="Arial"/>
                <w:color w:val="000000"/>
                <w:sz w:val="18"/>
                <w:szCs w:val="18"/>
              </w:rPr>
            </w:pPr>
          </w:p>
          <w:p w14:paraId="13A7A019" w14:textId="77777777" w:rsidR="00E568A1" w:rsidRDefault="00022C75" w:rsidP="00E221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w:t>
            </w:r>
            <w:r w:rsidRPr="00022C75">
              <w:rPr>
                <w:rFonts w:ascii="Arial" w:hAnsi="Arial" w:cs="Arial"/>
                <w:color w:val="000000"/>
                <w:sz w:val="18"/>
                <w:szCs w:val="18"/>
              </w:rPr>
              <w:t>ідсутня відповідь на терапію</w:t>
            </w:r>
            <w:r w:rsidR="0057709D">
              <w:rPr>
                <w:rFonts w:ascii="Arial" w:hAnsi="Arial" w:cs="Arial"/>
                <w:color w:val="000000"/>
                <w:sz w:val="18"/>
                <w:szCs w:val="18"/>
              </w:rPr>
              <w:t>; конверсія</w:t>
            </w:r>
            <w:r w:rsidR="00520B43">
              <w:rPr>
                <w:rFonts w:ascii="Arial" w:hAnsi="Arial" w:cs="Arial"/>
                <w:color w:val="000000"/>
                <w:sz w:val="18"/>
                <w:szCs w:val="18"/>
              </w:rPr>
              <w:t>; лікування</w:t>
            </w:r>
            <w:r w:rsidR="00E568A1" w:rsidRPr="00A81BDF">
              <w:rPr>
                <w:rFonts w:ascii="Arial" w:hAnsi="Arial" w:cs="Arial"/>
                <w:color w:val="000000"/>
                <w:sz w:val="18"/>
                <w:szCs w:val="18"/>
              </w:rPr>
              <w:t xml:space="preserve"> припинено</w:t>
            </w:r>
          </w:p>
          <w:p w14:paraId="3A2CD5A2" w14:textId="6A95E60E" w:rsidR="00022C75" w:rsidRPr="00A81BDF" w:rsidRDefault="00022C75" w:rsidP="00E221F6">
            <w:pPr>
              <w:autoSpaceDE w:val="0"/>
              <w:autoSpaceDN w:val="0"/>
              <w:adjustRightInd w:val="0"/>
              <w:spacing w:after="0" w:line="240" w:lineRule="auto"/>
              <w:rPr>
                <w:rFonts w:ascii="Arial" w:hAnsi="Arial" w:cs="Arial"/>
                <w:b/>
                <w:bCs/>
                <w:color w:val="000000"/>
                <w:sz w:val="18"/>
                <w:szCs w:val="18"/>
              </w:rPr>
            </w:pPr>
          </w:p>
        </w:tc>
        <w:tc>
          <w:tcPr>
            <w:tcW w:w="2693" w:type="dxa"/>
            <w:shd w:val="clear" w:color="auto" w:fill="FDEDED"/>
          </w:tcPr>
          <w:p w14:paraId="650C8848" w14:textId="77777777" w:rsidR="0006502C" w:rsidRDefault="0006502C" w:rsidP="00E221F6">
            <w:pPr>
              <w:autoSpaceDE w:val="0"/>
              <w:autoSpaceDN w:val="0"/>
              <w:adjustRightInd w:val="0"/>
              <w:spacing w:after="0" w:line="240" w:lineRule="auto"/>
              <w:jc w:val="both"/>
              <w:rPr>
                <w:rFonts w:ascii="Arial" w:hAnsi="Arial" w:cs="Arial"/>
                <w:color w:val="000000"/>
                <w:sz w:val="18"/>
                <w:szCs w:val="18"/>
                <w:lang w:val="uk-UA"/>
              </w:rPr>
            </w:pPr>
          </w:p>
          <w:p w14:paraId="2CD52998"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Алкогольне отруєння</w:t>
            </w:r>
          </w:p>
          <w:p w14:paraId="08A9743B"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r>
      <w:tr w:rsidR="00E568A1" w:rsidRPr="00E63386" w14:paraId="4D53E29D" w14:textId="77777777" w:rsidTr="00E221F6">
        <w:tc>
          <w:tcPr>
            <w:tcW w:w="1526" w:type="dxa"/>
            <w:shd w:val="clear" w:color="auto" w:fill="FDEDED"/>
          </w:tcPr>
          <w:p w14:paraId="15A26FAD" w14:textId="77777777" w:rsidR="0006502C" w:rsidRDefault="0006502C" w:rsidP="00E221F6">
            <w:pPr>
              <w:autoSpaceDE w:val="0"/>
              <w:autoSpaceDN w:val="0"/>
              <w:adjustRightInd w:val="0"/>
              <w:spacing w:after="0" w:line="240" w:lineRule="auto"/>
              <w:jc w:val="both"/>
              <w:rPr>
                <w:rFonts w:ascii="Arial" w:hAnsi="Arial" w:cs="Arial"/>
                <w:color w:val="000000"/>
                <w:sz w:val="18"/>
                <w:szCs w:val="18"/>
                <w:lang w:val="en-US"/>
              </w:rPr>
            </w:pPr>
          </w:p>
          <w:p w14:paraId="13A301A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208–4153 </w:t>
            </w:r>
          </w:p>
          <w:p w14:paraId="6F82901F"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c>
          <w:tcPr>
            <w:tcW w:w="1402" w:type="dxa"/>
            <w:shd w:val="clear" w:color="auto" w:fill="FDEDED"/>
          </w:tcPr>
          <w:p w14:paraId="7EDFE128"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en-US"/>
              </w:rPr>
            </w:pPr>
            <w:r w:rsidRPr="00E221F6">
              <w:rPr>
                <w:rFonts w:ascii="Arial" w:hAnsi="Arial" w:cs="Arial"/>
                <w:color w:val="000000"/>
                <w:sz w:val="18"/>
                <w:szCs w:val="18"/>
                <w:lang w:val="uk-UA"/>
              </w:rPr>
              <w:t>Бедаквілін</w:t>
            </w:r>
          </w:p>
        </w:tc>
        <w:tc>
          <w:tcPr>
            <w:tcW w:w="3843" w:type="dxa"/>
            <w:shd w:val="clear" w:color="auto" w:fill="FDEDED"/>
          </w:tcPr>
          <w:p w14:paraId="6DCDAAF2" w14:textId="59E9F229" w:rsidR="00E568A1" w:rsidRPr="00E221F6" w:rsidRDefault="00022C75" w:rsidP="00E221F6">
            <w:pPr>
              <w:autoSpaceDE w:val="0"/>
              <w:autoSpaceDN w:val="0"/>
              <w:adjustRightInd w:val="0"/>
              <w:spacing w:after="0" w:line="240" w:lineRule="auto"/>
              <w:jc w:val="both"/>
              <w:rPr>
                <w:rFonts w:ascii="Arial" w:hAnsi="Arial" w:cs="Arial"/>
                <w:b/>
                <w:bCs/>
                <w:color w:val="000000"/>
                <w:sz w:val="18"/>
                <w:szCs w:val="18"/>
                <w:lang w:val="uk-UA"/>
              </w:rPr>
            </w:pPr>
            <w:r w:rsidRPr="00022C75">
              <w:rPr>
                <w:rFonts w:ascii="Arial" w:hAnsi="Arial" w:cs="Arial"/>
                <w:color w:val="000000"/>
                <w:sz w:val="18"/>
                <w:szCs w:val="18"/>
                <w:lang w:val="uk-UA"/>
              </w:rPr>
              <w:t>відсутня відповідь на терапію</w:t>
            </w:r>
            <w:r w:rsidR="00E568A1" w:rsidRPr="00E221F6">
              <w:rPr>
                <w:rFonts w:ascii="Arial" w:hAnsi="Arial" w:cs="Arial"/>
                <w:color w:val="000000"/>
                <w:sz w:val="18"/>
                <w:szCs w:val="18"/>
                <w:lang w:val="uk-UA"/>
              </w:rPr>
              <w:t>; рецидив</w:t>
            </w:r>
          </w:p>
        </w:tc>
        <w:tc>
          <w:tcPr>
            <w:tcW w:w="2693" w:type="dxa"/>
            <w:shd w:val="clear" w:color="auto" w:fill="FDEDED"/>
          </w:tcPr>
          <w:p w14:paraId="2FA0F7EC" w14:textId="64CF4D2B" w:rsidR="00E568A1" w:rsidRPr="00E221F6" w:rsidRDefault="00022C75" w:rsidP="00E221F6">
            <w:pPr>
              <w:autoSpaceDE w:val="0"/>
              <w:autoSpaceDN w:val="0"/>
              <w:adjustRightInd w:val="0"/>
              <w:spacing w:after="0" w:line="240" w:lineRule="auto"/>
              <w:rPr>
                <w:rFonts w:ascii="Arial" w:hAnsi="Arial" w:cs="Arial"/>
                <w:b/>
                <w:bCs/>
                <w:color w:val="000000"/>
                <w:sz w:val="18"/>
                <w:szCs w:val="18"/>
                <w:lang w:val="en-US"/>
              </w:rPr>
            </w:pPr>
            <w:r>
              <w:rPr>
                <w:rFonts w:ascii="Arial" w:hAnsi="Arial" w:cs="Arial"/>
                <w:color w:val="000000"/>
                <w:sz w:val="18"/>
                <w:szCs w:val="18"/>
                <w:lang w:val="en-US"/>
              </w:rPr>
              <w:t>А</w:t>
            </w:r>
            <w:r w:rsidR="006363B3" w:rsidRPr="006363B3">
              <w:rPr>
                <w:rFonts w:ascii="Arial" w:hAnsi="Arial" w:cs="Arial"/>
                <w:color w:val="000000"/>
                <w:sz w:val="18"/>
                <w:szCs w:val="18"/>
                <w:lang w:val="en-US"/>
              </w:rPr>
              <w:t>соційоване з ТБ захворювання</w:t>
            </w:r>
          </w:p>
        </w:tc>
      </w:tr>
      <w:tr w:rsidR="00E568A1" w:rsidRPr="00E63386" w14:paraId="30385EB5" w14:textId="77777777" w:rsidTr="00E221F6">
        <w:tc>
          <w:tcPr>
            <w:tcW w:w="1526" w:type="dxa"/>
            <w:shd w:val="clear" w:color="auto" w:fill="FDEDED"/>
          </w:tcPr>
          <w:p w14:paraId="26297E9F"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en-US"/>
              </w:rPr>
            </w:pPr>
            <w:r w:rsidRPr="00E221F6">
              <w:rPr>
                <w:rFonts w:ascii="Arial" w:hAnsi="Arial" w:cs="Arial"/>
                <w:color w:val="000000"/>
                <w:sz w:val="18"/>
                <w:szCs w:val="18"/>
                <w:lang w:val="en-US"/>
              </w:rPr>
              <w:t xml:space="preserve">208–4224 </w:t>
            </w:r>
          </w:p>
        </w:tc>
        <w:tc>
          <w:tcPr>
            <w:tcW w:w="1402" w:type="dxa"/>
            <w:shd w:val="clear" w:color="auto" w:fill="FDEDED"/>
          </w:tcPr>
          <w:p w14:paraId="20EB6E95"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r w:rsidRPr="00E221F6">
              <w:rPr>
                <w:rFonts w:ascii="Arial" w:hAnsi="Arial" w:cs="Arial"/>
                <w:color w:val="000000"/>
                <w:sz w:val="18"/>
                <w:szCs w:val="18"/>
                <w:lang w:val="uk-UA"/>
              </w:rPr>
              <w:t>Бедаквілін</w:t>
            </w:r>
            <w:r w:rsidRPr="00E221F6">
              <w:rPr>
                <w:rFonts w:ascii="Arial" w:hAnsi="Arial" w:cs="Arial"/>
                <w:b/>
                <w:bCs/>
                <w:color w:val="000000"/>
                <w:sz w:val="18"/>
                <w:szCs w:val="18"/>
                <w:lang w:val="en-US"/>
              </w:rPr>
              <w:t xml:space="preserve"> </w:t>
            </w:r>
          </w:p>
        </w:tc>
        <w:tc>
          <w:tcPr>
            <w:tcW w:w="3843" w:type="dxa"/>
            <w:shd w:val="clear" w:color="auto" w:fill="FDEDED"/>
          </w:tcPr>
          <w:p w14:paraId="02FE1549" w14:textId="032C69F8" w:rsidR="00E568A1" w:rsidRPr="00E221F6" w:rsidRDefault="00022C75" w:rsidP="00E221F6">
            <w:pPr>
              <w:autoSpaceDE w:val="0"/>
              <w:autoSpaceDN w:val="0"/>
              <w:adjustRightInd w:val="0"/>
              <w:spacing w:after="0" w:line="240" w:lineRule="auto"/>
              <w:jc w:val="both"/>
              <w:rPr>
                <w:rFonts w:ascii="Arial" w:hAnsi="Arial" w:cs="Arial"/>
                <w:b/>
                <w:bCs/>
                <w:color w:val="000000"/>
                <w:sz w:val="18"/>
                <w:szCs w:val="18"/>
                <w:lang w:val="en-US"/>
              </w:rPr>
            </w:pPr>
            <w:r w:rsidRPr="00022C75">
              <w:rPr>
                <w:rFonts w:ascii="Arial" w:hAnsi="Arial" w:cs="Arial"/>
                <w:color w:val="000000"/>
                <w:sz w:val="18"/>
                <w:szCs w:val="18"/>
                <w:lang w:val="uk-UA"/>
              </w:rPr>
              <w:t>відсутня відповідь на терапію</w:t>
            </w:r>
            <w:r w:rsidR="00E568A1" w:rsidRPr="00E221F6">
              <w:rPr>
                <w:rFonts w:ascii="Arial" w:hAnsi="Arial" w:cs="Arial"/>
                <w:color w:val="000000"/>
                <w:sz w:val="18"/>
                <w:szCs w:val="18"/>
                <w:lang w:val="uk-UA"/>
              </w:rPr>
              <w:t>; рецидив</w:t>
            </w:r>
          </w:p>
        </w:tc>
        <w:tc>
          <w:tcPr>
            <w:tcW w:w="2693" w:type="dxa"/>
            <w:shd w:val="clear" w:color="auto" w:fill="FDEDED"/>
          </w:tcPr>
          <w:p w14:paraId="6E667D6C" w14:textId="77777777" w:rsidR="006363B3" w:rsidRDefault="00022C75" w:rsidP="00E221F6">
            <w:pPr>
              <w:autoSpaceDE w:val="0"/>
              <w:autoSpaceDN w:val="0"/>
              <w:adjustRightInd w:val="0"/>
              <w:spacing w:after="0" w:line="240" w:lineRule="auto"/>
              <w:rPr>
                <w:rFonts w:ascii="Arial" w:hAnsi="Arial" w:cs="Arial"/>
                <w:b/>
                <w:bCs/>
                <w:color w:val="000000"/>
                <w:sz w:val="18"/>
                <w:szCs w:val="18"/>
                <w:lang w:val="en-US"/>
              </w:rPr>
            </w:pPr>
            <w:r>
              <w:rPr>
                <w:rFonts w:ascii="Arial" w:hAnsi="Arial" w:cs="Arial"/>
                <w:color w:val="000000"/>
                <w:sz w:val="18"/>
                <w:szCs w:val="18"/>
                <w:lang w:val="en-US"/>
              </w:rPr>
              <w:t>А</w:t>
            </w:r>
            <w:r w:rsidRPr="006363B3">
              <w:rPr>
                <w:rFonts w:ascii="Arial" w:hAnsi="Arial" w:cs="Arial"/>
                <w:color w:val="000000"/>
                <w:sz w:val="18"/>
                <w:szCs w:val="18"/>
                <w:lang w:val="en-US"/>
              </w:rPr>
              <w:t>соційоване з ТБ захворювання</w:t>
            </w:r>
            <w:r w:rsidRPr="00E221F6">
              <w:rPr>
                <w:rFonts w:ascii="Arial" w:hAnsi="Arial" w:cs="Arial"/>
                <w:b/>
                <w:bCs/>
                <w:color w:val="000000"/>
                <w:sz w:val="18"/>
                <w:szCs w:val="18"/>
                <w:lang w:val="en-US"/>
              </w:rPr>
              <w:t xml:space="preserve"> </w:t>
            </w:r>
          </w:p>
          <w:p w14:paraId="100BD007" w14:textId="38B40D14" w:rsidR="00022C75" w:rsidRPr="00E221F6" w:rsidRDefault="00022C75" w:rsidP="00E221F6">
            <w:pPr>
              <w:autoSpaceDE w:val="0"/>
              <w:autoSpaceDN w:val="0"/>
              <w:adjustRightInd w:val="0"/>
              <w:spacing w:after="0" w:line="240" w:lineRule="auto"/>
              <w:rPr>
                <w:rFonts w:ascii="Arial" w:hAnsi="Arial" w:cs="Arial"/>
                <w:b/>
                <w:bCs/>
                <w:color w:val="000000"/>
                <w:sz w:val="18"/>
                <w:szCs w:val="18"/>
                <w:lang w:val="en-US"/>
              </w:rPr>
            </w:pPr>
          </w:p>
        </w:tc>
      </w:tr>
      <w:tr w:rsidR="00E568A1" w:rsidRPr="00E63386" w14:paraId="5E68A0F8" w14:textId="77777777" w:rsidTr="00E221F6">
        <w:tc>
          <w:tcPr>
            <w:tcW w:w="1526" w:type="dxa"/>
            <w:shd w:val="clear" w:color="auto" w:fill="FDEDED"/>
          </w:tcPr>
          <w:p w14:paraId="7D96082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208–5069 </w:t>
            </w:r>
          </w:p>
        </w:tc>
        <w:tc>
          <w:tcPr>
            <w:tcW w:w="1402" w:type="dxa"/>
            <w:shd w:val="clear" w:color="auto" w:fill="FDEDED"/>
          </w:tcPr>
          <w:p w14:paraId="7FC3245E"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r w:rsidRPr="00E221F6">
              <w:rPr>
                <w:rFonts w:ascii="Arial" w:hAnsi="Arial" w:cs="Arial"/>
                <w:color w:val="000000"/>
                <w:sz w:val="18"/>
                <w:szCs w:val="18"/>
                <w:lang w:val="uk-UA"/>
              </w:rPr>
              <w:t>Бедаквілін</w:t>
            </w:r>
            <w:r w:rsidRPr="00E221F6">
              <w:rPr>
                <w:rFonts w:ascii="Arial" w:hAnsi="Arial" w:cs="Arial"/>
                <w:b/>
                <w:bCs/>
                <w:color w:val="000000"/>
                <w:sz w:val="18"/>
                <w:szCs w:val="18"/>
                <w:lang w:val="en-US"/>
              </w:rPr>
              <w:t xml:space="preserve"> </w:t>
            </w:r>
          </w:p>
        </w:tc>
        <w:tc>
          <w:tcPr>
            <w:tcW w:w="3843" w:type="dxa"/>
            <w:shd w:val="clear" w:color="auto" w:fill="FDEDED"/>
          </w:tcPr>
          <w:p w14:paraId="7C571B83" w14:textId="55BB07F0" w:rsidR="00E568A1" w:rsidRPr="00A81BDF" w:rsidRDefault="00022C75" w:rsidP="00E221F6">
            <w:pPr>
              <w:autoSpaceDE w:val="0"/>
              <w:autoSpaceDN w:val="0"/>
              <w:adjustRightInd w:val="0"/>
              <w:spacing w:after="0" w:line="240" w:lineRule="auto"/>
              <w:jc w:val="both"/>
              <w:rPr>
                <w:rFonts w:ascii="Arial" w:hAnsi="Arial" w:cs="Arial"/>
                <w:b/>
                <w:bCs/>
                <w:color w:val="000000"/>
                <w:sz w:val="18"/>
                <w:szCs w:val="18"/>
              </w:rPr>
            </w:pPr>
            <w:r w:rsidRPr="00022C75">
              <w:rPr>
                <w:rFonts w:ascii="Arial" w:hAnsi="Arial" w:cs="Arial"/>
                <w:color w:val="000000"/>
                <w:sz w:val="18"/>
                <w:szCs w:val="18"/>
              </w:rPr>
              <w:t>відсутня відповідь на терапію</w:t>
            </w:r>
            <w:r w:rsidR="00520B43">
              <w:rPr>
                <w:rFonts w:ascii="Arial" w:hAnsi="Arial" w:cs="Arial"/>
                <w:color w:val="000000"/>
                <w:sz w:val="18"/>
                <w:szCs w:val="18"/>
              </w:rPr>
              <w:t>; конверсія; лікування</w:t>
            </w:r>
            <w:r w:rsidR="00520B43" w:rsidRPr="00A81BDF">
              <w:rPr>
                <w:rFonts w:ascii="Arial" w:hAnsi="Arial" w:cs="Arial"/>
                <w:color w:val="000000"/>
                <w:sz w:val="18"/>
                <w:szCs w:val="18"/>
              </w:rPr>
              <w:t xml:space="preserve"> припинено</w:t>
            </w:r>
          </w:p>
        </w:tc>
        <w:tc>
          <w:tcPr>
            <w:tcW w:w="2693" w:type="dxa"/>
            <w:shd w:val="clear" w:color="auto" w:fill="FDEDED"/>
          </w:tcPr>
          <w:p w14:paraId="34C76A0D" w14:textId="707E3427" w:rsidR="00E568A1" w:rsidRPr="00E221F6" w:rsidRDefault="006363B3" w:rsidP="00E221F6">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Цироз печінки, гепатит</w:t>
            </w:r>
            <w:r w:rsidR="00E568A1" w:rsidRPr="00E221F6">
              <w:rPr>
                <w:rFonts w:ascii="Arial" w:hAnsi="Arial" w:cs="Arial"/>
                <w:color w:val="000000"/>
                <w:sz w:val="18"/>
                <w:szCs w:val="18"/>
                <w:lang w:val="en-US"/>
              </w:rPr>
              <w:t>, анемія</w:t>
            </w:r>
          </w:p>
          <w:p w14:paraId="613C3921"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r>
      <w:tr w:rsidR="00E568A1" w:rsidRPr="005C2C67" w14:paraId="4B4A2E67" w14:textId="77777777" w:rsidTr="00E221F6">
        <w:tc>
          <w:tcPr>
            <w:tcW w:w="1526" w:type="dxa"/>
            <w:shd w:val="clear" w:color="auto" w:fill="FDEDED"/>
          </w:tcPr>
          <w:p w14:paraId="6EF43F34"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208–4399  </w:t>
            </w:r>
          </w:p>
          <w:p w14:paraId="2B29AA6C"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p w14:paraId="787BC6E0"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p w14:paraId="3F8970D1"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en-US"/>
              </w:rPr>
            </w:pPr>
            <w:r w:rsidRPr="00E221F6">
              <w:rPr>
                <w:rFonts w:ascii="Arial" w:hAnsi="Arial" w:cs="Arial"/>
                <w:color w:val="000000"/>
                <w:sz w:val="18"/>
                <w:szCs w:val="18"/>
                <w:lang w:val="en-US"/>
              </w:rPr>
              <w:t xml:space="preserve">208–5067 </w:t>
            </w:r>
          </w:p>
        </w:tc>
        <w:tc>
          <w:tcPr>
            <w:tcW w:w="1402" w:type="dxa"/>
            <w:shd w:val="clear" w:color="auto" w:fill="FDEDED"/>
          </w:tcPr>
          <w:p w14:paraId="16B9DC11"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uk-UA"/>
              </w:rPr>
              <w:t>Бедаквілін</w:t>
            </w:r>
            <w:r w:rsidRPr="00E221F6">
              <w:rPr>
                <w:rFonts w:ascii="Arial" w:hAnsi="Arial" w:cs="Arial"/>
                <w:color w:val="000000"/>
                <w:sz w:val="18"/>
                <w:szCs w:val="18"/>
                <w:lang w:val="en-US"/>
              </w:rPr>
              <w:t xml:space="preserve"> </w:t>
            </w:r>
          </w:p>
          <w:p w14:paraId="733C3F5B"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p w14:paraId="6957755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uk-UA"/>
              </w:rPr>
            </w:pPr>
          </w:p>
          <w:p w14:paraId="5B3CE750"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en-US"/>
              </w:rPr>
            </w:pPr>
            <w:r w:rsidRPr="00E221F6">
              <w:rPr>
                <w:rFonts w:ascii="Arial" w:hAnsi="Arial" w:cs="Arial"/>
                <w:color w:val="000000"/>
                <w:sz w:val="18"/>
                <w:szCs w:val="18"/>
                <w:lang w:val="uk-UA"/>
              </w:rPr>
              <w:t>Бедаквілін</w:t>
            </w:r>
          </w:p>
        </w:tc>
        <w:tc>
          <w:tcPr>
            <w:tcW w:w="3843" w:type="dxa"/>
            <w:shd w:val="clear" w:color="auto" w:fill="FDEDED"/>
          </w:tcPr>
          <w:p w14:paraId="4A82D30F" w14:textId="396EE9CD" w:rsidR="00E568A1" w:rsidRPr="00E221F6" w:rsidRDefault="00022C75" w:rsidP="00E221F6">
            <w:pPr>
              <w:autoSpaceDE w:val="0"/>
              <w:autoSpaceDN w:val="0"/>
              <w:adjustRightInd w:val="0"/>
              <w:spacing w:after="0" w:line="240" w:lineRule="auto"/>
              <w:jc w:val="both"/>
              <w:rPr>
                <w:rFonts w:ascii="Arial" w:hAnsi="Arial" w:cs="Arial"/>
                <w:color w:val="000000"/>
                <w:sz w:val="18"/>
                <w:szCs w:val="18"/>
                <w:lang w:val="uk-UA"/>
              </w:rPr>
            </w:pPr>
            <w:r w:rsidRPr="00022C75">
              <w:rPr>
                <w:rFonts w:ascii="Arial" w:hAnsi="Arial" w:cs="Arial"/>
                <w:color w:val="000000"/>
                <w:sz w:val="18"/>
                <w:szCs w:val="18"/>
              </w:rPr>
              <w:t>відсутня відповідь на терапію</w:t>
            </w:r>
            <w:r w:rsidR="00E568A1" w:rsidRPr="00E221F6">
              <w:rPr>
                <w:rFonts w:ascii="Arial" w:hAnsi="Arial" w:cs="Arial"/>
                <w:color w:val="000000"/>
                <w:sz w:val="18"/>
                <w:szCs w:val="18"/>
                <w:lang w:val="en-US"/>
              </w:rPr>
              <w:t xml:space="preserve">; </w:t>
            </w:r>
            <w:r w:rsidR="00520B43">
              <w:rPr>
                <w:rFonts w:ascii="Arial" w:hAnsi="Arial" w:cs="Arial"/>
                <w:color w:val="000000"/>
                <w:sz w:val="18"/>
                <w:szCs w:val="18"/>
              </w:rPr>
              <w:t>конверсія</w:t>
            </w:r>
          </w:p>
          <w:p w14:paraId="17E7CEFA"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p w14:paraId="32FC0F35"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uk-UA"/>
              </w:rPr>
            </w:pPr>
          </w:p>
          <w:p w14:paraId="0AE03B8D" w14:textId="2A8F7520" w:rsidR="00E568A1" w:rsidRPr="00520B43" w:rsidRDefault="00022C75" w:rsidP="00E221F6">
            <w:pPr>
              <w:autoSpaceDE w:val="0"/>
              <w:autoSpaceDN w:val="0"/>
              <w:adjustRightInd w:val="0"/>
              <w:spacing w:after="0" w:line="240" w:lineRule="auto"/>
              <w:jc w:val="both"/>
              <w:rPr>
                <w:rFonts w:ascii="Arial" w:hAnsi="Arial" w:cs="Arial"/>
                <w:color w:val="000000"/>
                <w:sz w:val="18"/>
                <w:szCs w:val="18"/>
                <w:lang w:val="uk-UA"/>
              </w:rPr>
            </w:pPr>
            <w:r w:rsidRPr="00022C75">
              <w:rPr>
                <w:rFonts w:ascii="Arial" w:hAnsi="Arial" w:cs="Arial"/>
                <w:color w:val="000000"/>
                <w:sz w:val="18"/>
                <w:szCs w:val="18"/>
              </w:rPr>
              <w:t>відсутня відповідь на терапію</w:t>
            </w:r>
            <w:r w:rsidR="00E568A1" w:rsidRPr="00E221F6">
              <w:rPr>
                <w:rFonts w:ascii="Arial" w:hAnsi="Arial" w:cs="Arial"/>
                <w:color w:val="000000"/>
                <w:sz w:val="18"/>
                <w:szCs w:val="18"/>
                <w:lang w:val="en-US"/>
              </w:rPr>
              <w:t xml:space="preserve">; </w:t>
            </w:r>
            <w:r w:rsidR="00520B43">
              <w:rPr>
                <w:rFonts w:ascii="Arial" w:hAnsi="Arial" w:cs="Arial"/>
                <w:color w:val="000000"/>
                <w:sz w:val="18"/>
                <w:szCs w:val="18"/>
              </w:rPr>
              <w:t>конверсія</w:t>
            </w:r>
          </w:p>
          <w:p w14:paraId="575934C9"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uk-UA"/>
              </w:rPr>
            </w:pPr>
          </w:p>
        </w:tc>
        <w:tc>
          <w:tcPr>
            <w:tcW w:w="2693" w:type="dxa"/>
            <w:shd w:val="clear" w:color="auto" w:fill="FDEDED"/>
          </w:tcPr>
          <w:p w14:paraId="144AF570" w14:textId="7854A2F7" w:rsidR="00E568A1" w:rsidRPr="00A81BDF" w:rsidRDefault="00B6302F" w:rsidP="00E221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w:t>
            </w:r>
            <w:r w:rsidR="00E568A1" w:rsidRPr="00A81BDF">
              <w:rPr>
                <w:rFonts w:ascii="Arial" w:hAnsi="Arial" w:cs="Arial"/>
                <w:color w:val="000000"/>
                <w:sz w:val="18"/>
                <w:szCs w:val="18"/>
              </w:rPr>
              <w:t>орушення мозкового кровообігу</w:t>
            </w:r>
          </w:p>
          <w:p w14:paraId="1AB68B2D" w14:textId="77777777" w:rsidR="00E568A1" w:rsidRPr="00A81BDF" w:rsidRDefault="00E568A1" w:rsidP="00E221F6">
            <w:pPr>
              <w:autoSpaceDE w:val="0"/>
              <w:autoSpaceDN w:val="0"/>
              <w:adjustRightInd w:val="0"/>
              <w:spacing w:after="0" w:line="240" w:lineRule="auto"/>
              <w:rPr>
                <w:rFonts w:ascii="Arial" w:hAnsi="Arial" w:cs="Arial"/>
                <w:color w:val="000000"/>
                <w:sz w:val="10"/>
                <w:szCs w:val="10"/>
              </w:rPr>
            </w:pPr>
          </w:p>
          <w:p w14:paraId="68060DBE" w14:textId="77777777" w:rsidR="00E568A1" w:rsidRPr="00A81BDF" w:rsidRDefault="00E568A1" w:rsidP="00E221F6">
            <w:pPr>
              <w:autoSpaceDE w:val="0"/>
              <w:autoSpaceDN w:val="0"/>
              <w:adjustRightInd w:val="0"/>
              <w:spacing w:after="0" w:line="240" w:lineRule="auto"/>
              <w:rPr>
                <w:rFonts w:ascii="Arial" w:hAnsi="Arial" w:cs="Arial"/>
                <w:b/>
                <w:bCs/>
                <w:color w:val="000000"/>
                <w:sz w:val="18"/>
                <w:szCs w:val="18"/>
              </w:rPr>
            </w:pPr>
            <w:r w:rsidRPr="00A81BDF">
              <w:rPr>
                <w:rFonts w:ascii="Arial" w:hAnsi="Arial" w:cs="Arial"/>
                <w:color w:val="000000"/>
                <w:sz w:val="18"/>
                <w:szCs w:val="18"/>
              </w:rPr>
              <w:t>Перитоніт і септичний шок</w:t>
            </w:r>
          </w:p>
        </w:tc>
      </w:tr>
      <w:tr w:rsidR="00E568A1" w:rsidRPr="00E63386" w14:paraId="6CAB4DB1" w14:textId="77777777" w:rsidTr="00E221F6">
        <w:tc>
          <w:tcPr>
            <w:tcW w:w="1526" w:type="dxa"/>
            <w:shd w:val="clear" w:color="auto" w:fill="FDEDED"/>
          </w:tcPr>
          <w:p w14:paraId="77E31356"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208–4120 </w:t>
            </w:r>
          </w:p>
          <w:p w14:paraId="5D69B5FD"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c>
          <w:tcPr>
            <w:tcW w:w="1402" w:type="dxa"/>
            <w:shd w:val="clear" w:color="auto" w:fill="FDEDED"/>
          </w:tcPr>
          <w:p w14:paraId="3B778C8B" w14:textId="77777777" w:rsidR="00E568A1" w:rsidRPr="00E221F6" w:rsidRDefault="00E568A1" w:rsidP="00E221F6">
            <w:pPr>
              <w:autoSpaceDE w:val="0"/>
              <w:autoSpaceDN w:val="0"/>
              <w:adjustRightInd w:val="0"/>
              <w:spacing w:after="0" w:line="240" w:lineRule="auto"/>
              <w:jc w:val="both"/>
              <w:rPr>
                <w:rFonts w:ascii="Arial" w:hAnsi="Arial" w:cs="Arial"/>
                <w:b/>
                <w:bCs/>
                <w:color w:val="000000"/>
                <w:sz w:val="18"/>
                <w:szCs w:val="18"/>
                <w:lang w:val="uk-UA"/>
              </w:rPr>
            </w:pPr>
            <w:r w:rsidRPr="00E221F6">
              <w:rPr>
                <w:rFonts w:ascii="Arial" w:hAnsi="Arial" w:cs="Arial"/>
                <w:color w:val="000000"/>
                <w:sz w:val="18"/>
                <w:szCs w:val="18"/>
                <w:lang w:val="uk-UA"/>
              </w:rPr>
              <w:t>Плацебо</w:t>
            </w:r>
          </w:p>
        </w:tc>
        <w:tc>
          <w:tcPr>
            <w:tcW w:w="3843" w:type="dxa"/>
            <w:shd w:val="clear" w:color="auto" w:fill="FDEDED"/>
          </w:tcPr>
          <w:p w14:paraId="74577DF8" w14:textId="3CC6C1BE" w:rsidR="00E568A1" w:rsidRPr="00A81BDF" w:rsidRDefault="00022C75" w:rsidP="00E221F6">
            <w:pPr>
              <w:autoSpaceDE w:val="0"/>
              <w:autoSpaceDN w:val="0"/>
              <w:adjustRightInd w:val="0"/>
              <w:spacing w:after="0" w:line="240" w:lineRule="auto"/>
              <w:jc w:val="both"/>
              <w:rPr>
                <w:rFonts w:ascii="Arial" w:hAnsi="Arial" w:cs="Arial"/>
                <w:b/>
                <w:bCs/>
                <w:color w:val="000000"/>
                <w:sz w:val="18"/>
                <w:szCs w:val="18"/>
              </w:rPr>
            </w:pPr>
            <w:r w:rsidRPr="00022C75">
              <w:rPr>
                <w:rFonts w:ascii="Arial" w:hAnsi="Arial" w:cs="Arial"/>
                <w:color w:val="000000"/>
                <w:sz w:val="18"/>
                <w:szCs w:val="18"/>
              </w:rPr>
              <w:t>відсутня відповідь на терапію</w:t>
            </w:r>
            <w:r w:rsidR="00E568A1" w:rsidRPr="00A81BDF">
              <w:rPr>
                <w:rFonts w:ascii="Arial" w:hAnsi="Arial" w:cs="Arial"/>
                <w:color w:val="000000"/>
                <w:sz w:val="18"/>
                <w:szCs w:val="18"/>
              </w:rPr>
              <w:t xml:space="preserve">; </w:t>
            </w:r>
            <w:r w:rsidR="00520B43" w:rsidRPr="00520B43">
              <w:rPr>
                <w:rFonts w:ascii="Arial" w:hAnsi="Arial" w:cs="Arial"/>
                <w:color w:val="000000"/>
                <w:sz w:val="18"/>
                <w:szCs w:val="18"/>
              </w:rPr>
              <w:t>конверсія не відбулася</w:t>
            </w:r>
          </w:p>
        </w:tc>
        <w:tc>
          <w:tcPr>
            <w:tcW w:w="2693" w:type="dxa"/>
            <w:shd w:val="clear" w:color="auto" w:fill="FDEDED"/>
          </w:tcPr>
          <w:p w14:paraId="5B888C40"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Кровохаркання (ТБ)</w:t>
            </w:r>
          </w:p>
          <w:p w14:paraId="20796884" w14:textId="77777777" w:rsidR="00E568A1" w:rsidRPr="00E221F6" w:rsidRDefault="00E568A1" w:rsidP="00E221F6">
            <w:pPr>
              <w:autoSpaceDE w:val="0"/>
              <w:autoSpaceDN w:val="0"/>
              <w:adjustRightInd w:val="0"/>
              <w:spacing w:after="0" w:line="240" w:lineRule="auto"/>
              <w:rPr>
                <w:rFonts w:ascii="Arial" w:hAnsi="Arial" w:cs="Arial"/>
                <w:b/>
                <w:bCs/>
                <w:color w:val="000000"/>
                <w:sz w:val="18"/>
                <w:szCs w:val="18"/>
                <w:lang w:val="en-US"/>
              </w:rPr>
            </w:pPr>
          </w:p>
        </w:tc>
      </w:tr>
      <w:tr w:rsidR="00E568A1" w:rsidRPr="00451CFD" w14:paraId="2F615FF3" w14:textId="77777777" w:rsidTr="00E2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4"/>
            <w:tcBorders>
              <w:top w:val="nil"/>
              <w:left w:val="nil"/>
              <w:bottom w:val="nil"/>
              <w:right w:val="nil"/>
            </w:tcBorders>
            <w:shd w:val="clear" w:color="auto" w:fill="F3A3A3"/>
          </w:tcPr>
          <w:p w14:paraId="02D072EB" w14:textId="77777777" w:rsidR="00E568A1" w:rsidRPr="00A81BDF" w:rsidRDefault="00E568A1" w:rsidP="00E221F6">
            <w:pPr>
              <w:autoSpaceDE w:val="0"/>
              <w:autoSpaceDN w:val="0"/>
              <w:adjustRightInd w:val="0"/>
              <w:spacing w:after="0" w:line="240" w:lineRule="auto"/>
              <w:rPr>
                <w:rFonts w:ascii="Arial" w:hAnsi="Arial" w:cs="Arial"/>
                <w:b/>
                <w:bCs/>
                <w:i/>
                <w:iCs/>
                <w:color w:val="000000"/>
                <w:sz w:val="10"/>
                <w:szCs w:val="10"/>
              </w:rPr>
            </w:pPr>
          </w:p>
          <w:p w14:paraId="11D55F57" w14:textId="49B6F6F4" w:rsidR="00E568A1" w:rsidRPr="00A81BDF" w:rsidRDefault="00022C75" w:rsidP="00E221F6">
            <w:pPr>
              <w:autoSpaceDE w:val="0"/>
              <w:autoSpaceDN w:val="0"/>
              <w:adjustRightInd w:val="0"/>
              <w:spacing w:after="0" w:line="240" w:lineRule="auto"/>
              <w:rPr>
                <w:rFonts w:ascii="Arial" w:hAnsi="Arial" w:cs="Arial"/>
                <w:b/>
                <w:bCs/>
                <w:i/>
                <w:iCs/>
                <w:color w:val="000000"/>
                <w:sz w:val="18"/>
                <w:szCs w:val="18"/>
              </w:rPr>
            </w:pPr>
            <w:r>
              <w:rPr>
                <w:rFonts w:ascii="Arial" w:hAnsi="Arial" w:cs="Arial"/>
                <w:b/>
                <w:bCs/>
                <w:i/>
                <w:iCs/>
                <w:color w:val="000000"/>
                <w:sz w:val="18"/>
                <w:szCs w:val="18"/>
              </w:rPr>
              <w:t>Смертність під час</w:t>
            </w:r>
            <w:r w:rsidR="00E568A1" w:rsidRPr="00A81BDF">
              <w:rPr>
                <w:rFonts w:ascii="Arial" w:hAnsi="Arial" w:cs="Arial"/>
                <w:b/>
                <w:bCs/>
                <w:i/>
                <w:iCs/>
                <w:color w:val="000000"/>
                <w:sz w:val="18"/>
                <w:szCs w:val="18"/>
              </w:rPr>
              <w:t xml:space="preserve"> </w:t>
            </w:r>
            <w:r w:rsidR="00FA063A">
              <w:rPr>
                <w:rFonts w:ascii="Arial" w:hAnsi="Arial" w:cs="Arial"/>
                <w:b/>
                <w:bCs/>
                <w:i/>
                <w:iCs/>
                <w:color w:val="000000"/>
                <w:sz w:val="18"/>
                <w:szCs w:val="18"/>
              </w:rPr>
              <w:t>тривалого</w:t>
            </w:r>
            <w:r>
              <w:rPr>
                <w:rFonts w:ascii="Arial" w:hAnsi="Arial" w:cs="Arial"/>
                <w:b/>
                <w:bCs/>
                <w:i/>
                <w:iCs/>
                <w:color w:val="000000"/>
                <w:sz w:val="18"/>
                <w:szCs w:val="18"/>
              </w:rPr>
              <w:t xml:space="preserve"> </w:t>
            </w:r>
            <w:r w:rsidR="00E568A1" w:rsidRPr="00A81BDF">
              <w:rPr>
                <w:rFonts w:ascii="Arial" w:hAnsi="Arial" w:cs="Arial"/>
                <w:b/>
                <w:bCs/>
                <w:i/>
                <w:iCs/>
                <w:color w:val="000000"/>
                <w:sz w:val="18"/>
                <w:szCs w:val="18"/>
              </w:rPr>
              <w:t xml:space="preserve">спостереження </w:t>
            </w:r>
            <w:r>
              <w:rPr>
                <w:rFonts w:ascii="Arial" w:hAnsi="Arial" w:cs="Arial"/>
                <w:b/>
                <w:bCs/>
                <w:i/>
                <w:iCs/>
                <w:color w:val="000000"/>
                <w:sz w:val="18"/>
                <w:szCs w:val="18"/>
              </w:rPr>
              <w:t xml:space="preserve">пацієнтів, які </w:t>
            </w:r>
            <w:r w:rsidR="00FA063A">
              <w:rPr>
                <w:rFonts w:ascii="Arial" w:hAnsi="Arial" w:cs="Arial"/>
                <w:b/>
                <w:bCs/>
                <w:i/>
                <w:iCs/>
                <w:color w:val="000000"/>
                <w:sz w:val="18"/>
                <w:szCs w:val="18"/>
              </w:rPr>
              <w:t>достроково вибули з дослідження</w:t>
            </w:r>
            <w:r w:rsidR="00E568A1" w:rsidRPr="00A81BDF">
              <w:rPr>
                <w:rFonts w:ascii="Arial" w:hAnsi="Arial" w:cs="Arial"/>
                <w:b/>
                <w:bCs/>
                <w:i/>
                <w:iCs/>
                <w:color w:val="000000"/>
                <w:sz w:val="18"/>
                <w:szCs w:val="18"/>
              </w:rPr>
              <w:t xml:space="preserve"> </w:t>
            </w:r>
          </w:p>
          <w:p w14:paraId="41B74867" w14:textId="77777777" w:rsidR="00E568A1" w:rsidRPr="00A81BDF" w:rsidRDefault="00E568A1" w:rsidP="00E221F6">
            <w:pPr>
              <w:autoSpaceDE w:val="0"/>
              <w:autoSpaceDN w:val="0"/>
              <w:adjustRightInd w:val="0"/>
              <w:spacing w:after="0" w:line="240" w:lineRule="auto"/>
              <w:rPr>
                <w:rFonts w:ascii="Arial" w:hAnsi="Arial" w:cs="Arial"/>
                <w:b/>
                <w:bCs/>
                <w:i/>
                <w:iCs/>
                <w:color w:val="000000"/>
                <w:sz w:val="10"/>
                <w:szCs w:val="10"/>
              </w:rPr>
            </w:pPr>
          </w:p>
        </w:tc>
      </w:tr>
      <w:tr w:rsidR="00E568A1" w:rsidRPr="00174A3C" w14:paraId="78D84A54" w14:textId="77777777" w:rsidTr="00E221F6">
        <w:tc>
          <w:tcPr>
            <w:tcW w:w="1526" w:type="dxa"/>
            <w:shd w:val="clear" w:color="auto" w:fill="FDEDED"/>
          </w:tcPr>
          <w:p w14:paraId="45AAC086" w14:textId="77777777" w:rsidR="0006502C" w:rsidRPr="0006502C" w:rsidRDefault="0006502C" w:rsidP="001A16C5">
            <w:pPr>
              <w:rPr>
                <w:rFonts w:ascii="Arial" w:hAnsi="Arial" w:cs="Arial"/>
                <w:color w:val="000000"/>
                <w:sz w:val="6"/>
                <w:szCs w:val="6"/>
              </w:rPr>
            </w:pPr>
          </w:p>
          <w:p w14:paraId="42A8A6F3" w14:textId="77777777" w:rsidR="00E568A1" w:rsidRPr="00E221F6" w:rsidRDefault="00E568A1" w:rsidP="001A16C5">
            <w:pPr>
              <w:rPr>
                <w:lang w:val="en-US"/>
              </w:rPr>
            </w:pPr>
            <w:r w:rsidRPr="00E221F6">
              <w:rPr>
                <w:rFonts w:ascii="Arial" w:hAnsi="Arial" w:cs="Arial"/>
                <w:color w:val="000000"/>
                <w:sz w:val="18"/>
                <w:szCs w:val="18"/>
                <w:lang w:val="en-US"/>
              </w:rPr>
              <w:t xml:space="preserve">208–4127 </w:t>
            </w:r>
          </w:p>
        </w:tc>
        <w:tc>
          <w:tcPr>
            <w:tcW w:w="1402" w:type="dxa"/>
            <w:shd w:val="clear" w:color="auto" w:fill="FDEDED"/>
          </w:tcPr>
          <w:p w14:paraId="5B19A30D" w14:textId="77777777" w:rsidR="0006502C" w:rsidRPr="0006502C" w:rsidRDefault="0006502C" w:rsidP="001A16C5">
            <w:pPr>
              <w:rPr>
                <w:rFonts w:ascii="Arial" w:hAnsi="Arial" w:cs="Arial"/>
                <w:color w:val="000000"/>
                <w:sz w:val="6"/>
                <w:szCs w:val="6"/>
                <w:lang w:val="uk-UA"/>
              </w:rPr>
            </w:pPr>
          </w:p>
          <w:p w14:paraId="0190FD59" w14:textId="77777777" w:rsidR="00E568A1" w:rsidRPr="00E221F6" w:rsidRDefault="00E568A1" w:rsidP="001A16C5">
            <w:pPr>
              <w:rPr>
                <w:lang w:val="en-US"/>
              </w:rPr>
            </w:pPr>
            <w:r w:rsidRPr="00E221F6">
              <w:rPr>
                <w:rFonts w:ascii="Arial" w:hAnsi="Arial" w:cs="Arial"/>
                <w:color w:val="000000"/>
                <w:sz w:val="18"/>
                <w:szCs w:val="18"/>
                <w:lang w:val="uk-UA"/>
              </w:rPr>
              <w:t>Бедаквілін</w:t>
            </w:r>
          </w:p>
        </w:tc>
        <w:tc>
          <w:tcPr>
            <w:tcW w:w="3843" w:type="dxa"/>
            <w:shd w:val="clear" w:color="auto" w:fill="FDEDED"/>
          </w:tcPr>
          <w:p w14:paraId="3253E7B8" w14:textId="77777777" w:rsidR="0006502C" w:rsidRPr="0006502C" w:rsidRDefault="0006502C" w:rsidP="001A16C5">
            <w:pPr>
              <w:rPr>
                <w:rFonts w:ascii="Arial" w:hAnsi="Arial" w:cs="Arial"/>
                <w:color w:val="000000"/>
                <w:sz w:val="6"/>
                <w:szCs w:val="6"/>
              </w:rPr>
            </w:pPr>
          </w:p>
          <w:p w14:paraId="57ED5403" w14:textId="1A6E8D9F" w:rsidR="00E568A1" w:rsidRPr="00A81BDF" w:rsidRDefault="00022C75" w:rsidP="001A16C5">
            <w:r w:rsidRPr="00022C75">
              <w:rPr>
                <w:rFonts w:ascii="Arial" w:hAnsi="Arial" w:cs="Arial"/>
                <w:color w:val="000000"/>
                <w:sz w:val="18"/>
                <w:szCs w:val="18"/>
              </w:rPr>
              <w:t>відсутня відповідь на терапію</w:t>
            </w:r>
            <w:r w:rsidR="00E568A1" w:rsidRPr="00A81BDF">
              <w:rPr>
                <w:rFonts w:ascii="Arial" w:hAnsi="Arial" w:cs="Arial"/>
                <w:color w:val="000000"/>
                <w:sz w:val="18"/>
                <w:szCs w:val="18"/>
              </w:rPr>
              <w:t xml:space="preserve">; </w:t>
            </w:r>
            <w:r w:rsidR="00520B43" w:rsidRPr="00520B43">
              <w:rPr>
                <w:rFonts w:ascii="Arial" w:hAnsi="Arial" w:cs="Arial"/>
                <w:color w:val="000000"/>
                <w:sz w:val="18"/>
                <w:szCs w:val="18"/>
              </w:rPr>
              <w:t>конверсія не відбулася</w:t>
            </w:r>
          </w:p>
        </w:tc>
        <w:tc>
          <w:tcPr>
            <w:tcW w:w="2693" w:type="dxa"/>
            <w:shd w:val="clear" w:color="auto" w:fill="FDEDED"/>
          </w:tcPr>
          <w:p w14:paraId="46BCD816" w14:textId="77777777" w:rsidR="0006502C" w:rsidRDefault="0006502C" w:rsidP="00E221F6">
            <w:pPr>
              <w:autoSpaceDE w:val="0"/>
              <w:autoSpaceDN w:val="0"/>
              <w:adjustRightInd w:val="0"/>
              <w:spacing w:after="0" w:line="240" w:lineRule="auto"/>
              <w:rPr>
                <w:rFonts w:ascii="Arial" w:hAnsi="Arial" w:cs="Arial"/>
                <w:color w:val="000000"/>
                <w:sz w:val="6"/>
                <w:szCs w:val="6"/>
              </w:rPr>
            </w:pPr>
          </w:p>
          <w:p w14:paraId="55BA8FD2" w14:textId="77777777" w:rsidR="0006502C" w:rsidRDefault="0006502C" w:rsidP="00E221F6">
            <w:pPr>
              <w:autoSpaceDE w:val="0"/>
              <w:autoSpaceDN w:val="0"/>
              <w:adjustRightInd w:val="0"/>
              <w:spacing w:after="0" w:line="240" w:lineRule="auto"/>
              <w:rPr>
                <w:rFonts w:ascii="Arial" w:hAnsi="Arial" w:cs="Arial"/>
                <w:color w:val="000000"/>
                <w:sz w:val="6"/>
                <w:szCs w:val="6"/>
              </w:rPr>
            </w:pPr>
          </w:p>
          <w:p w14:paraId="712C3E3B" w14:textId="77777777" w:rsidR="0006502C" w:rsidRPr="0006502C" w:rsidRDefault="0006502C" w:rsidP="00E221F6">
            <w:pPr>
              <w:autoSpaceDE w:val="0"/>
              <w:autoSpaceDN w:val="0"/>
              <w:adjustRightInd w:val="0"/>
              <w:spacing w:after="0" w:line="240" w:lineRule="auto"/>
              <w:rPr>
                <w:rFonts w:ascii="Arial" w:hAnsi="Arial" w:cs="Arial"/>
                <w:color w:val="000000"/>
                <w:sz w:val="10"/>
                <w:szCs w:val="10"/>
              </w:rPr>
            </w:pPr>
          </w:p>
          <w:p w14:paraId="77F122FD" w14:textId="63760966" w:rsidR="00E568A1" w:rsidRPr="00E221F6" w:rsidRDefault="00022C75" w:rsidP="00E221F6">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А</w:t>
            </w:r>
            <w:r w:rsidRPr="006363B3">
              <w:rPr>
                <w:rFonts w:ascii="Arial" w:hAnsi="Arial" w:cs="Arial"/>
                <w:color w:val="000000"/>
                <w:sz w:val="18"/>
                <w:szCs w:val="18"/>
                <w:lang w:val="en-US"/>
              </w:rPr>
              <w:t>соційоване з ТБ захворювання</w:t>
            </w:r>
          </w:p>
        </w:tc>
      </w:tr>
      <w:tr w:rsidR="00E568A1" w:rsidRPr="00174A3C" w14:paraId="2E81E915" w14:textId="77777777" w:rsidTr="00E221F6">
        <w:tc>
          <w:tcPr>
            <w:tcW w:w="1526" w:type="dxa"/>
            <w:shd w:val="clear" w:color="auto" w:fill="FDEDED"/>
          </w:tcPr>
          <w:p w14:paraId="1CA873A0" w14:textId="77777777" w:rsidR="00E568A1" w:rsidRPr="00E221F6" w:rsidRDefault="00E568A1" w:rsidP="00E00C3E">
            <w:pPr>
              <w:rPr>
                <w:lang w:val="en-US"/>
              </w:rPr>
            </w:pPr>
            <w:r w:rsidRPr="00E221F6">
              <w:rPr>
                <w:rFonts w:ascii="Arial" w:hAnsi="Arial" w:cs="Arial"/>
                <w:color w:val="000000"/>
                <w:sz w:val="18"/>
                <w:szCs w:val="18"/>
                <w:lang w:val="en-US"/>
              </w:rPr>
              <w:t xml:space="preserve">208–4145 </w:t>
            </w:r>
          </w:p>
        </w:tc>
        <w:tc>
          <w:tcPr>
            <w:tcW w:w="1402" w:type="dxa"/>
            <w:shd w:val="clear" w:color="auto" w:fill="FDEDED"/>
          </w:tcPr>
          <w:p w14:paraId="05688563" w14:textId="77777777" w:rsidR="00E568A1" w:rsidRPr="00E221F6" w:rsidRDefault="00E568A1" w:rsidP="00E00C3E">
            <w:pPr>
              <w:rPr>
                <w:lang w:val="en-US"/>
              </w:rPr>
            </w:pPr>
            <w:r w:rsidRPr="00E221F6">
              <w:rPr>
                <w:rFonts w:ascii="Arial" w:hAnsi="Arial" w:cs="Arial"/>
                <w:color w:val="000000"/>
                <w:sz w:val="18"/>
                <w:szCs w:val="18"/>
                <w:lang w:val="uk-UA"/>
              </w:rPr>
              <w:t>Бедаквілін</w:t>
            </w:r>
          </w:p>
        </w:tc>
        <w:tc>
          <w:tcPr>
            <w:tcW w:w="3843" w:type="dxa"/>
            <w:shd w:val="clear" w:color="auto" w:fill="FDEDED"/>
          </w:tcPr>
          <w:p w14:paraId="15D1ECA7" w14:textId="2B24B117" w:rsidR="00E568A1" w:rsidRPr="00E221F6" w:rsidRDefault="00022C75" w:rsidP="00E00C3E">
            <w:pPr>
              <w:rPr>
                <w:lang w:val="en-US"/>
              </w:rPr>
            </w:pPr>
            <w:r w:rsidRPr="00022C75">
              <w:rPr>
                <w:rFonts w:ascii="Arial" w:hAnsi="Arial" w:cs="Arial"/>
                <w:color w:val="000000"/>
                <w:sz w:val="18"/>
                <w:szCs w:val="18"/>
              </w:rPr>
              <w:t>відсутня відповідь на терапію</w:t>
            </w:r>
            <w:r w:rsidR="00E568A1" w:rsidRPr="00E221F6">
              <w:rPr>
                <w:rFonts w:ascii="Arial" w:hAnsi="Arial" w:cs="Arial"/>
                <w:color w:val="000000"/>
                <w:sz w:val="18"/>
                <w:szCs w:val="18"/>
                <w:lang w:val="uk-UA"/>
              </w:rPr>
              <w:t>; рецидив</w:t>
            </w:r>
            <w:r w:rsidR="00E568A1" w:rsidRPr="00E221F6">
              <w:rPr>
                <w:rFonts w:ascii="Arial" w:hAnsi="Arial" w:cs="Arial"/>
                <w:color w:val="000000"/>
                <w:sz w:val="18"/>
                <w:szCs w:val="18"/>
                <w:lang w:val="en-US"/>
              </w:rPr>
              <w:t xml:space="preserve"> </w:t>
            </w:r>
          </w:p>
        </w:tc>
        <w:tc>
          <w:tcPr>
            <w:tcW w:w="2693" w:type="dxa"/>
            <w:shd w:val="clear" w:color="auto" w:fill="FDEDED"/>
          </w:tcPr>
          <w:p w14:paraId="7595F41E" w14:textId="77777777" w:rsidR="006363B3" w:rsidRDefault="00022C75" w:rsidP="00E221F6">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А</w:t>
            </w:r>
            <w:r w:rsidRPr="006363B3">
              <w:rPr>
                <w:rFonts w:ascii="Arial" w:hAnsi="Arial" w:cs="Arial"/>
                <w:color w:val="000000"/>
                <w:sz w:val="18"/>
                <w:szCs w:val="18"/>
                <w:lang w:val="en-US"/>
              </w:rPr>
              <w:t>соційоване з ТБ захворювання</w:t>
            </w:r>
            <w:r w:rsidRPr="00E221F6">
              <w:rPr>
                <w:rFonts w:ascii="Arial" w:hAnsi="Arial" w:cs="Arial"/>
                <w:color w:val="000000"/>
                <w:sz w:val="18"/>
                <w:szCs w:val="18"/>
                <w:lang w:val="en-US"/>
              </w:rPr>
              <w:t xml:space="preserve"> </w:t>
            </w:r>
          </w:p>
          <w:p w14:paraId="42040007" w14:textId="16E1F58E" w:rsidR="00022C75" w:rsidRPr="00E221F6" w:rsidRDefault="00022C75" w:rsidP="00E221F6">
            <w:pPr>
              <w:autoSpaceDE w:val="0"/>
              <w:autoSpaceDN w:val="0"/>
              <w:adjustRightInd w:val="0"/>
              <w:spacing w:after="0" w:line="240" w:lineRule="auto"/>
              <w:rPr>
                <w:rFonts w:ascii="Arial" w:hAnsi="Arial" w:cs="Arial"/>
                <w:color w:val="000000"/>
                <w:sz w:val="18"/>
                <w:szCs w:val="18"/>
                <w:lang w:val="en-US"/>
              </w:rPr>
            </w:pPr>
          </w:p>
        </w:tc>
      </w:tr>
      <w:tr w:rsidR="00E568A1" w:rsidRPr="00174A3C" w14:paraId="59872D86" w14:textId="77777777" w:rsidTr="00E221F6">
        <w:tc>
          <w:tcPr>
            <w:tcW w:w="1526" w:type="dxa"/>
            <w:shd w:val="clear" w:color="auto" w:fill="FDEDED"/>
          </w:tcPr>
          <w:p w14:paraId="48D78A9E"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208–4378 </w:t>
            </w:r>
          </w:p>
        </w:tc>
        <w:tc>
          <w:tcPr>
            <w:tcW w:w="1402" w:type="dxa"/>
            <w:shd w:val="clear" w:color="auto" w:fill="FDEDED"/>
          </w:tcPr>
          <w:p w14:paraId="0FEDADE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uk-UA"/>
              </w:rPr>
              <w:t>Бедаквілін</w:t>
            </w:r>
          </w:p>
        </w:tc>
        <w:tc>
          <w:tcPr>
            <w:tcW w:w="3843" w:type="dxa"/>
            <w:shd w:val="clear" w:color="auto" w:fill="FDEDED"/>
          </w:tcPr>
          <w:p w14:paraId="2C3492D1" w14:textId="5F459609" w:rsidR="00E568A1" w:rsidRPr="00E221F6" w:rsidRDefault="00022C75" w:rsidP="00E221F6">
            <w:pPr>
              <w:autoSpaceDE w:val="0"/>
              <w:autoSpaceDN w:val="0"/>
              <w:adjustRightInd w:val="0"/>
              <w:spacing w:after="0" w:line="240" w:lineRule="auto"/>
              <w:jc w:val="both"/>
              <w:rPr>
                <w:rFonts w:ascii="Arial" w:hAnsi="Arial" w:cs="Arial"/>
                <w:color w:val="000000"/>
                <w:sz w:val="18"/>
                <w:szCs w:val="18"/>
                <w:lang w:val="en-US"/>
              </w:rPr>
            </w:pPr>
            <w:r w:rsidRPr="00022C75">
              <w:rPr>
                <w:rFonts w:ascii="Arial" w:hAnsi="Arial" w:cs="Arial"/>
                <w:color w:val="000000"/>
                <w:sz w:val="18"/>
                <w:szCs w:val="18"/>
              </w:rPr>
              <w:t>відсутня відповідь на терапію</w:t>
            </w:r>
            <w:r w:rsidR="00E568A1" w:rsidRPr="00E221F6">
              <w:rPr>
                <w:rFonts w:ascii="Arial" w:hAnsi="Arial" w:cs="Arial"/>
                <w:color w:val="000000"/>
                <w:sz w:val="18"/>
                <w:szCs w:val="18"/>
                <w:lang w:val="uk-UA"/>
              </w:rPr>
              <w:t>; рецидив</w:t>
            </w:r>
          </w:p>
        </w:tc>
        <w:tc>
          <w:tcPr>
            <w:tcW w:w="2693" w:type="dxa"/>
            <w:shd w:val="clear" w:color="auto" w:fill="FDEDED"/>
          </w:tcPr>
          <w:p w14:paraId="77F11BFD"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Автомобильна аварія</w:t>
            </w:r>
          </w:p>
          <w:p w14:paraId="77CB9E5C"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tc>
      </w:tr>
      <w:tr w:rsidR="00E568A1" w:rsidRPr="00174A3C" w14:paraId="1F174BD7" w14:textId="77777777" w:rsidTr="00E221F6">
        <w:tc>
          <w:tcPr>
            <w:tcW w:w="1526" w:type="dxa"/>
            <w:shd w:val="clear" w:color="auto" w:fill="FDEDED"/>
          </w:tcPr>
          <w:p w14:paraId="31EA627E"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208–4464 </w:t>
            </w:r>
          </w:p>
          <w:p w14:paraId="07D15C6F"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tc>
        <w:tc>
          <w:tcPr>
            <w:tcW w:w="1402" w:type="dxa"/>
            <w:shd w:val="clear" w:color="auto" w:fill="FDEDED"/>
          </w:tcPr>
          <w:p w14:paraId="05D3CDF1"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uk-UA"/>
              </w:rPr>
              <w:t>Бедаквілін</w:t>
            </w:r>
          </w:p>
        </w:tc>
        <w:tc>
          <w:tcPr>
            <w:tcW w:w="3843" w:type="dxa"/>
            <w:shd w:val="clear" w:color="auto" w:fill="FDEDED"/>
          </w:tcPr>
          <w:p w14:paraId="29905232" w14:textId="23C19E9C" w:rsidR="00E568A1" w:rsidRPr="00A81BDF" w:rsidRDefault="00022C75" w:rsidP="00E221F6">
            <w:pPr>
              <w:autoSpaceDE w:val="0"/>
              <w:autoSpaceDN w:val="0"/>
              <w:adjustRightInd w:val="0"/>
              <w:spacing w:after="0" w:line="240" w:lineRule="auto"/>
              <w:jc w:val="both"/>
              <w:rPr>
                <w:rFonts w:ascii="Arial" w:hAnsi="Arial" w:cs="Arial"/>
                <w:color w:val="000000"/>
                <w:sz w:val="18"/>
                <w:szCs w:val="18"/>
              </w:rPr>
            </w:pPr>
            <w:r w:rsidRPr="00022C75">
              <w:rPr>
                <w:rFonts w:ascii="Arial" w:hAnsi="Arial" w:cs="Arial"/>
                <w:color w:val="000000"/>
                <w:sz w:val="18"/>
                <w:szCs w:val="18"/>
              </w:rPr>
              <w:t>відсутня відповідь на терапію</w:t>
            </w:r>
            <w:r w:rsidR="00E568A1" w:rsidRPr="00A81BDF">
              <w:rPr>
                <w:rFonts w:ascii="Arial" w:hAnsi="Arial" w:cs="Arial"/>
                <w:color w:val="000000"/>
                <w:sz w:val="18"/>
                <w:szCs w:val="18"/>
              </w:rPr>
              <w:t xml:space="preserve">; </w:t>
            </w:r>
            <w:r w:rsidR="00520B43" w:rsidRPr="00520B43">
              <w:rPr>
                <w:rFonts w:ascii="Arial" w:hAnsi="Arial" w:cs="Arial"/>
                <w:color w:val="000000"/>
                <w:sz w:val="18"/>
                <w:szCs w:val="18"/>
              </w:rPr>
              <w:t>конверсія не відбулася</w:t>
            </w:r>
          </w:p>
        </w:tc>
        <w:tc>
          <w:tcPr>
            <w:tcW w:w="2693" w:type="dxa"/>
            <w:shd w:val="clear" w:color="auto" w:fill="FDEDED"/>
          </w:tcPr>
          <w:p w14:paraId="729E726B" w14:textId="77777777" w:rsidR="006363B3" w:rsidRDefault="00022C75" w:rsidP="00E221F6">
            <w:p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А</w:t>
            </w:r>
            <w:r w:rsidRPr="006363B3">
              <w:rPr>
                <w:rFonts w:ascii="Arial" w:hAnsi="Arial" w:cs="Arial"/>
                <w:color w:val="000000"/>
                <w:sz w:val="18"/>
                <w:szCs w:val="18"/>
                <w:lang w:val="en-US"/>
              </w:rPr>
              <w:t>соційоване з ТБ захворювання</w:t>
            </w:r>
            <w:r w:rsidRPr="00E221F6">
              <w:rPr>
                <w:rFonts w:ascii="Arial" w:hAnsi="Arial" w:cs="Arial"/>
                <w:color w:val="000000"/>
                <w:sz w:val="18"/>
                <w:szCs w:val="18"/>
                <w:lang w:val="en-US"/>
              </w:rPr>
              <w:t xml:space="preserve"> </w:t>
            </w:r>
          </w:p>
          <w:p w14:paraId="50F9ED74" w14:textId="1A776D07" w:rsidR="00022C75" w:rsidRPr="00E221F6" w:rsidRDefault="00022C75" w:rsidP="00E221F6">
            <w:pPr>
              <w:autoSpaceDE w:val="0"/>
              <w:autoSpaceDN w:val="0"/>
              <w:adjustRightInd w:val="0"/>
              <w:spacing w:after="0" w:line="240" w:lineRule="auto"/>
              <w:jc w:val="both"/>
              <w:rPr>
                <w:rFonts w:ascii="Arial" w:hAnsi="Arial" w:cs="Arial"/>
                <w:color w:val="000000"/>
                <w:sz w:val="18"/>
                <w:szCs w:val="18"/>
                <w:lang w:val="en-US"/>
              </w:rPr>
            </w:pPr>
          </w:p>
        </w:tc>
      </w:tr>
      <w:tr w:rsidR="00E568A1" w:rsidRPr="00174A3C" w14:paraId="7F687AF1" w14:textId="77777777" w:rsidTr="00E221F6">
        <w:tc>
          <w:tcPr>
            <w:tcW w:w="1526" w:type="dxa"/>
            <w:tcBorders>
              <w:bottom w:val="single" w:sz="18" w:space="0" w:color="740000"/>
            </w:tcBorders>
            <w:shd w:val="clear" w:color="auto" w:fill="FDEDED"/>
          </w:tcPr>
          <w:p w14:paraId="5BC542A2"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 xml:space="preserve">208–4155 </w:t>
            </w:r>
          </w:p>
          <w:p w14:paraId="399A1E4A"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tc>
        <w:tc>
          <w:tcPr>
            <w:tcW w:w="1402" w:type="dxa"/>
            <w:tcBorders>
              <w:bottom w:val="single" w:sz="18" w:space="0" w:color="740000"/>
            </w:tcBorders>
            <w:shd w:val="clear" w:color="auto" w:fill="FDEDED"/>
          </w:tcPr>
          <w:p w14:paraId="6888C3C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Плацебо</w:t>
            </w:r>
          </w:p>
          <w:p w14:paraId="61CB0999"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tc>
        <w:tc>
          <w:tcPr>
            <w:tcW w:w="3843" w:type="dxa"/>
            <w:tcBorders>
              <w:bottom w:val="single" w:sz="18" w:space="0" w:color="740000"/>
            </w:tcBorders>
            <w:shd w:val="clear" w:color="auto" w:fill="FDEDED"/>
          </w:tcPr>
          <w:p w14:paraId="453C12CA" w14:textId="3DA7BDBD" w:rsidR="00E568A1" w:rsidRPr="00A81BDF" w:rsidRDefault="00022C75" w:rsidP="00E221F6">
            <w:pPr>
              <w:autoSpaceDE w:val="0"/>
              <w:autoSpaceDN w:val="0"/>
              <w:adjustRightInd w:val="0"/>
              <w:spacing w:after="0" w:line="240" w:lineRule="auto"/>
              <w:jc w:val="both"/>
              <w:rPr>
                <w:rFonts w:ascii="Arial" w:hAnsi="Arial" w:cs="Arial"/>
                <w:color w:val="000000"/>
                <w:sz w:val="18"/>
                <w:szCs w:val="18"/>
              </w:rPr>
            </w:pPr>
            <w:r w:rsidRPr="00022C75">
              <w:rPr>
                <w:rFonts w:ascii="Arial" w:hAnsi="Arial" w:cs="Arial"/>
                <w:color w:val="000000"/>
                <w:sz w:val="18"/>
                <w:szCs w:val="18"/>
              </w:rPr>
              <w:t>відсутня відповідь на терапію</w:t>
            </w:r>
            <w:r w:rsidR="00E568A1" w:rsidRPr="00A81BDF">
              <w:rPr>
                <w:rFonts w:ascii="Arial" w:hAnsi="Arial" w:cs="Arial"/>
                <w:color w:val="000000"/>
                <w:sz w:val="18"/>
                <w:szCs w:val="18"/>
              </w:rPr>
              <w:t xml:space="preserve">; </w:t>
            </w:r>
            <w:r w:rsidR="00520B43" w:rsidRPr="00520B43">
              <w:rPr>
                <w:rFonts w:ascii="Arial" w:hAnsi="Arial" w:cs="Arial"/>
                <w:color w:val="000000"/>
                <w:sz w:val="18"/>
                <w:szCs w:val="18"/>
              </w:rPr>
              <w:t>конверсія не відбулася</w:t>
            </w:r>
          </w:p>
        </w:tc>
        <w:tc>
          <w:tcPr>
            <w:tcW w:w="2693" w:type="dxa"/>
            <w:tcBorders>
              <w:bottom w:val="single" w:sz="18" w:space="0" w:color="740000"/>
            </w:tcBorders>
            <w:shd w:val="clear" w:color="auto" w:fill="FDEDED"/>
          </w:tcPr>
          <w:p w14:paraId="051B3262" w14:textId="46DA5BCF" w:rsidR="00E568A1" w:rsidRPr="00022C75" w:rsidRDefault="00022C75" w:rsidP="00E221F6">
            <w:pPr>
              <w:autoSpaceDE w:val="0"/>
              <w:autoSpaceDN w:val="0"/>
              <w:adjustRightInd w:val="0"/>
              <w:spacing w:after="0" w:line="240" w:lineRule="auto"/>
              <w:jc w:val="both"/>
              <w:rPr>
                <w:rFonts w:ascii="Arial" w:hAnsi="Arial" w:cs="Arial"/>
                <w:color w:val="000000"/>
                <w:sz w:val="18"/>
                <w:szCs w:val="18"/>
                <w:lang w:val="uk-UA"/>
              </w:rPr>
            </w:pPr>
            <w:r>
              <w:rPr>
                <w:rFonts w:ascii="Arial" w:hAnsi="Arial" w:cs="Arial"/>
                <w:color w:val="000000"/>
                <w:sz w:val="18"/>
                <w:szCs w:val="18"/>
                <w:lang w:val="en-US"/>
              </w:rPr>
              <w:t>А</w:t>
            </w:r>
            <w:r w:rsidRPr="006363B3">
              <w:rPr>
                <w:rFonts w:ascii="Arial" w:hAnsi="Arial" w:cs="Arial"/>
                <w:color w:val="000000"/>
                <w:sz w:val="18"/>
                <w:szCs w:val="18"/>
                <w:lang w:val="en-US"/>
              </w:rPr>
              <w:t>соційоване з ТБ захворювання</w:t>
            </w:r>
          </w:p>
        </w:tc>
      </w:tr>
    </w:tbl>
    <w:p w14:paraId="6641693B" w14:textId="77777777" w:rsidR="00E568A1" w:rsidRPr="00255826" w:rsidRDefault="00E568A1" w:rsidP="0037724F">
      <w:pPr>
        <w:autoSpaceDE w:val="0"/>
        <w:autoSpaceDN w:val="0"/>
        <w:adjustRightInd w:val="0"/>
        <w:spacing w:after="0" w:line="240" w:lineRule="auto"/>
        <w:jc w:val="both"/>
        <w:rPr>
          <w:rFonts w:ascii="Arial" w:hAnsi="Arial" w:cs="Arial"/>
          <w:b/>
          <w:bCs/>
          <w:color w:val="000000"/>
          <w:sz w:val="28"/>
          <w:szCs w:val="28"/>
          <w:lang w:val="en-US"/>
        </w:rPr>
      </w:pPr>
    </w:p>
    <w:p w14:paraId="766EFC09" w14:textId="52CE68EE" w:rsidR="00E568A1" w:rsidRPr="00FA063A"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en-US"/>
        </w:rPr>
      </w:pPr>
      <w:r w:rsidRPr="00FA063A">
        <w:rPr>
          <w:rFonts w:ascii="Arial" w:hAnsi="Arial" w:cs="Arial"/>
          <w:b/>
          <w:bCs/>
          <w:color w:val="6A2041"/>
          <w:sz w:val="28"/>
          <w:szCs w:val="28"/>
          <w:lang w:val="en-US"/>
        </w:rPr>
        <w:t>4.3. Е</w:t>
      </w:r>
      <w:r w:rsidR="00FA063A" w:rsidRPr="00FA063A">
        <w:rPr>
          <w:rFonts w:ascii="Arial" w:hAnsi="Arial" w:cs="Arial"/>
          <w:b/>
          <w:bCs/>
          <w:color w:val="6A2041"/>
          <w:sz w:val="28"/>
          <w:szCs w:val="28"/>
          <w:lang w:val="en-US"/>
        </w:rPr>
        <w:t>кономічна е</w:t>
      </w:r>
      <w:r w:rsidRPr="00FA063A">
        <w:rPr>
          <w:rFonts w:ascii="Arial" w:hAnsi="Arial" w:cs="Arial"/>
          <w:b/>
          <w:bCs/>
          <w:color w:val="6A2041"/>
          <w:sz w:val="28"/>
          <w:szCs w:val="28"/>
          <w:lang w:val="en-US"/>
        </w:rPr>
        <w:t xml:space="preserve">фективність </w:t>
      </w:r>
    </w:p>
    <w:p w14:paraId="1AC7CBED" w14:textId="77777777" w:rsidR="00E568A1" w:rsidRPr="00255826" w:rsidRDefault="00E568A1" w:rsidP="0037724F">
      <w:pPr>
        <w:autoSpaceDE w:val="0"/>
        <w:autoSpaceDN w:val="0"/>
        <w:adjustRightInd w:val="0"/>
        <w:spacing w:after="0" w:line="240" w:lineRule="auto"/>
        <w:jc w:val="both"/>
        <w:rPr>
          <w:rFonts w:ascii="Arial" w:hAnsi="Arial" w:cs="Arial"/>
          <w:color w:val="000000"/>
          <w:sz w:val="24"/>
          <w:szCs w:val="24"/>
          <w:lang w:val="en-US"/>
        </w:rPr>
      </w:pPr>
    </w:p>
    <w:p w14:paraId="7DE6F0E0" w14:textId="37FD891F" w:rsidR="00E568A1" w:rsidRPr="00E76E86" w:rsidRDefault="00FA063A"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На прохання </w:t>
      </w:r>
      <w:r w:rsidR="00805DF9">
        <w:rPr>
          <w:rFonts w:ascii="Arial" w:hAnsi="Arial" w:cs="Arial"/>
          <w:color w:val="000000"/>
          <w:lang w:val="uk-UA"/>
        </w:rPr>
        <w:t xml:space="preserve">ВООЗ, </w:t>
      </w:r>
      <w:r>
        <w:rPr>
          <w:rFonts w:ascii="Arial" w:hAnsi="Arial" w:cs="Arial"/>
          <w:color w:val="000000"/>
          <w:lang w:val="uk-UA"/>
        </w:rPr>
        <w:t>незалежний консультант розробив модель</w:t>
      </w:r>
      <w:r w:rsidR="00805DF9">
        <w:rPr>
          <w:rFonts w:ascii="Arial" w:hAnsi="Arial" w:cs="Arial"/>
          <w:color w:val="000000"/>
          <w:lang w:val="uk-UA"/>
        </w:rPr>
        <w:t xml:space="preserve"> </w:t>
      </w:r>
      <w:r>
        <w:rPr>
          <w:rFonts w:ascii="Arial" w:hAnsi="Arial" w:cs="Arial"/>
          <w:color w:val="000000"/>
          <w:lang w:val="uk-UA"/>
        </w:rPr>
        <w:t xml:space="preserve">економічної </w:t>
      </w:r>
      <w:r w:rsidR="009A63F0">
        <w:rPr>
          <w:rFonts w:ascii="Arial" w:hAnsi="Arial" w:cs="Arial"/>
          <w:color w:val="000000"/>
          <w:lang w:val="uk-UA"/>
        </w:rPr>
        <w:t>ефекти</w:t>
      </w:r>
      <w:r>
        <w:rPr>
          <w:rFonts w:ascii="Arial" w:hAnsi="Arial" w:cs="Arial"/>
          <w:color w:val="000000"/>
          <w:lang w:val="uk-UA"/>
        </w:rPr>
        <w:t>вності</w:t>
      </w:r>
      <w:r w:rsidR="00E568A1" w:rsidRPr="00740BE2">
        <w:rPr>
          <w:rFonts w:ascii="Arial" w:hAnsi="Arial" w:cs="Arial"/>
          <w:color w:val="000000"/>
          <w:lang w:val="uk-UA"/>
        </w:rPr>
        <w:t xml:space="preserve"> бедаквіліну до рекомендованих ВООЗ режимів лікування </w:t>
      </w:r>
      <w:r w:rsidR="009A63F0">
        <w:rPr>
          <w:rFonts w:ascii="Arial" w:hAnsi="Arial" w:cs="Arial"/>
          <w:color w:val="000000"/>
          <w:lang w:val="uk-UA"/>
        </w:rPr>
        <w:t>МР</w:t>
      </w:r>
      <w:r w:rsidR="00E568A1" w:rsidRPr="00740BE2">
        <w:rPr>
          <w:rFonts w:ascii="Arial" w:hAnsi="Arial" w:cs="Arial"/>
          <w:color w:val="000000"/>
          <w:lang w:val="uk-UA"/>
        </w:rPr>
        <w:t xml:space="preserve"> ТБ</w:t>
      </w:r>
      <w:r w:rsidR="009A63F0">
        <w:rPr>
          <w:rFonts w:ascii="Arial" w:hAnsi="Arial" w:cs="Arial"/>
          <w:color w:val="000000"/>
          <w:lang w:val="uk-UA"/>
        </w:rPr>
        <w:t>. Результати моделювання надалі</w:t>
      </w:r>
      <w:r w:rsidR="00993DF1">
        <w:rPr>
          <w:rFonts w:ascii="Arial" w:hAnsi="Arial" w:cs="Arial"/>
          <w:color w:val="000000"/>
          <w:lang w:val="uk-UA"/>
        </w:rPr>
        <w:t xml:space="preserve"> розглядали</w:t>
      </w:r>
      <w:r w:rsidR="009A63F0">
        <w:rPr>
          <w:rFonts w:ascii="Arial" w:hAnsi="Arial" w:cs="Arial"/>
          <w:color w:val="000000"/>
          <w:lang w:val="uk-UA"/>
        </w:rPr>
        <w:t xml:space="preserve">ся </w:t>
      </w:r>
      <w:r w:rsidR="00F513A2">
        <w:rPr>
          <w:rFonts w:ascii="Arial" w:hAnsi="Arial" w:cs="Arial"/>
          <w:color w:val="000000"/>
          <w:lang w:val="uk-UA"/>
        </w:rPr>
        <w:t xml:space="preserve">ЕГ. </w:t>
      </w:r>
      <w:r w:rsidR="00E568A1" w:rsidRPr="00740BE2">
        <w:rPr>
          <w:rFonts w:ascii="Arial" w:hAnsi="Arial" w:cs="Arial"/>
          <w:color w:val="000000"/>
          <w:lang w:val="uk-UA"/>
        </w:rPr>
        <w:t xml:space="preserve">У моделі передбачалося, що бедаквілін буде доданий до курсу лікування для всіх пацієнтів, які розпочали лікування </w:t>
      </w:r>
      <w:r w:rsidR="009B51D9">
        <w:rPr>
          <w:rFonts w:ascii="Arial" w:hAnsi="Arial" w:cs="Arial"/>
          <w:color w:val="000000"/>
          <w:lang w:val="uk-UA"/>
        </w:rPr>
        <w:t>МР ТБ</w:t>
      </w:r>
      <w:r w:rsidR="00E568A1" w:rsidRPr="00740BE2">
        <w:rPr>
          <w:rFonts w:ascii="Arial" w:hAnsi="Arial" w:cs="Arial"/>
          <w:color w:val="000000"/>
          <w:lang w:val="uk-UA"/>
        </w:rPr>
        <w:t>.</w:t>
      </w:r>
      <w:r w:rsidR="00E568A1">
        <w:rPr>
          <w:rFonts w:ascii="Arial" w:hAnsi="Arial" w:cs="Arial"/>
          <w:color w:val="000000"/>
          <w:lang w:val="uk-UA"/>
        </w:rPr>
        <w:t xml:space="preserve"> </w:t>
      </w:r>
      <w:r>
        <w:rPr>
          <w:rFonts w:ascii="Arial" w:hAnsi="Arial" w:cs="Arial"/>
          <w:color w:val="000000"/>
          <w:lang w:val="uk-UA"/>
        </w:rPr>
        <w:t>На момент розробки моделі,</w:t>
      </w:r>
      <w:r w:rsidR="00B6302F">
        <w:rPr>
          <w:rFonts w:ascii="Arial" w:hAnsi="Arial" w:cs="Arial"/>
          <w:color w:val="000000"/>
          <w:lang w:val="uk-UA"/>
        </w:rPr>
        <w:t xml:space="preserve"> </w:t>
      </w:r>
      <w:r>
        <w:rPr>
          <w:rFonts w:ascii="Arial" w:hAnsi="Arial" w:cs="Arial"/>
          <w:color w:val="000000"/>
          <w:lang w:val="uk-UA"/>
        </w:rPr>
        <w:t>були доступні</w:t>
      </w:r>
      <w:r w:rsidR="00E568A1" w:rsidRPr="00740BE2">
        <w:rPr>
          <w:rFonts w:ascii="Arial" w:hAnsi="Arial" w:cs="Arial"/>
          <w:color w:val="000000"/>
          <w:lang w:val="uk-UA"/>
        </w:rPr>
        <w:t xml:space="preserve"> дані ВООЗ стосовно поточних витрат на лікування </w:t>
      </w:r>
      <w:r w:rsidR="009B51D9">
        <w:rPr>
          <w:rFonts w:ascii="Arial" w:hAnsi="Arial" w:cs="Arial"/>
          <w:color w:val="000000"/>
          <w:lang w:val="uk-UA"/>
        </w:rPr>
        <w:t>МР ТБ</w:t>
      </w:r>
      <w:r w:rsidR="00E568A1" w:rsidRPr="00740BE2">
        <w:rPr>
          <w:rFonts w:ascii="Arial" w:hAnsi="Arial" w:cs="Arial"/>
          <w:color w:val="000000"/>
          <w:lang w:val="uk-UA"/>
        </w:rPr>
        <w:t xml:space="preserve"> (за винятком витрат на програму) та </w:t>
      </w:r>
      <w:r w:rsidR="00B6302F">
        <w:rPr>
          <w:rFonts w:ascii="Arial" w:hAnsi="Arial" w:cs="Arial"/>
          <w:color w:val="000000"/>
          <w:lang w:val="uk-UA"/>
        </w:rPr>
        <w:t xml:space="preserve">його </w:t>
      </w:r>
      <w:r>
        <w:rPr>
          <w:rFonts w:ascii="Arial" w:hAnsi="Arial" w:cs="Arial"/>
          <w:color w:val="000000"/>
          <w:lang w:val="uk-UA"/>
        </w:rPr>
        <w:t>ефективності</w:t>
      </w:r>
      <w:r w:rsidR="00E568A1" w:rsidRPr="00740BE2">
        <w:rPr>
          <w:rFonts w:ascii="Arial" w:hAnsi="Arial" w:cs="Arial"/>
          <w:color w:val="000000"/>
          <w:lang w:val="uk-UA"/>
        </w:rPr>
        <w:t xml:space="preserve"> </w:t>
      </w:r>
      <w:r>
        <w:rPr>
          <w:rFonts w:ascii="Arial" w:hAnsi="Arial" w:cs="Arial"/>
          <w:color w:val="000000"/>
          <w:lang w:val="uk-UA"/>
        </w:rPr>
        <w:t xml:space="preserve">в регіонах </w:t>
      </w:r>
      <w:r w:rsidR="0045582A">
        <w:rPr>
          <w:rFonts w:ascii="Arial" w:hAnsi="Arial" w:cs="Arial"/>
          <w:color w:val="000000"/>
          <w:lang w:val="uk-UA"/>
        </w:rPr>
        <w:t>з ви</w:t>
      </w:r>
      <w:r>
        <w:rPr>
          <w:rFonts w:ascii="Arial" w:hAnsi="Arial" w:cs="Arial"/>
          <w:color w:val="000000"/>
          <w:lang w:val="uk-UA"/>
        </w:rPr>
        <w:t>соким тягарем ТБ. Для цих регіонів,</w:t>
      </w:r>
      <w:r w:rsidR="0045582A" w:rsidRPr="00740BE2">
        <w:rPr>
          <w:rFonts w:ascii="Arial" w:hAnsi="Arial" w:cs="Arial"/>
          <w:color w:val="000000"/>
          <w:lang w:val="uk-UA"/>
        </w:rPr>
        <w:t xml:space="preserve"> </w:t>
      </w:r>
      <w:r w:rsidR="0045582A">
        <w:rPr>
          <w:rFonts w:ascii="Arial" w:hAnsi="Arial" w:cs="Arial"/>
          <w:color w:val="000000"/>
          <w:lang w:val="uk-UA"/>
        </w:rPr>
        <w:t>б</w:t>
      </w:r>
      <w:r w:rsidR="00E568A1" w:rsidRPr="00740BE2">
        <w:rPr>
          <w:rFonts w:ascii="Arial" w:hAnsi="Arial" w:cs="Arial"/>
          <w:color w:val="000000"/>
          <w:lang w:val="uk-UA"/>
        </w:rPr>
        <w:t xml:space="preserve">уло </w:t>
      </w:r>
      <w:r>
        <w:rPr>
          <w:rFonts w:ascii="Arial" w:hAnsi="Arial" w:cs="Arial"/>
          <w:color w:val="000000"/>
          <w:lang w:val="uk-UA"/>
        </w:rPr>
        <w:lastRenderedPageBreak/>
        <w:t>досліджено кілька сценаріїв</w:t>
      </w:r>
      <w:r w:rsidR="00E568A1" w:rsidRPr="00740BE2">
        <w:rPr>
          <w:rFonts w:ascii="Arial" w:hAnsi="Arial" w:cs="Arial"/>
          <w:color w:val="000000"/>
          <w:lang w:val="uk-UA"/>
        </w:rPr>
        <w:t xml:space="preserve"> оцінки </w:t>
      </w:r>
      <w:r>
        <w:rPr>
          <w:rFonts w:ascii="Arial" w:hAnsi="Arial" w:cs="Arial"/>
          <w:color w:val="000000"/>
          <w:lang w:val="uk-UA"/>
        </w:rPr>
        <w:t xml:space="preserve">економічної </w:t>
      </w:r>
      <w:r w:rsidR="00E568A1" w:rsidRPr="00740BE2">
        <w:rPr>
          <w:rFonts w:ascii="Arial" w:hAnsi="Arial" w:cs="Arial"/>
          <w:color w:val="000000"/>
          <w:lang w:val="uk-UA"/>
        </w:rPr>
        <w:t>ефективності бедаквіліну.</w:t>
      </w:r>
      <w:r w:rsidR="00E568A1">
        <w:rPr>
          <w:rFonts w:ascii="Arial" w:hAnsi="Arial" w:cs="Arial"/>
          <w:color w:val="000000"/>
          <w:lang w:val="uk-UA"/>
        </w:rPr>
        <w:t xml:space="preserve"> </w:t>
      </w:r>
      <w:r>
        <w:rPr>
          <w:rFonts w:ascii="Arial" w:hAnsi="Arial" w:cs="Arial"/>
          <w:color w:val="000000"/>
          <w:lang w:val="uk-UA"/>
        </w:rPr>
        <w:t>Згідно припущень</w:t>
      </w:r>
      <w:r w:rsidR="00E568A1" w:rsidRPr="00C32A5C">
        <w:rPr>
          <w:rFonts w:ascii="Arial" w:hAnsi="Arial" w:cs="Arial"/>
          <w:color w:val="000000"/>
          <w:lang w:val="uk-UA"/>
        </w:rPr>
        <w:t xml:space="preserve"> при моделюванні, режими лікування, що містять бедаквілін, в більшості випадків оцінювалися як відносно ефективні, однак результати б</w:t>
      </w:r>
      <w:r w:rsidR="00447940">
        <w:rPr>
          <w:rFonts w:ascii="Arial" w:hAnsi="Arial" w:cs="Arial"/>
          <w:color w:val="000000"/>
          <w:lang w:val="uk-UA"/>
        </w:rPr>
        <w:t xml:space="preserve">ули неоднозначними щодо населення з </w:t>
      </w:r>
      <w:r w:rsidR="00E568A1" w:rsidRPr="00C32A5C">
        <w:rPr>
          <w:rFonts w:ascii="Arial" w:hAnsi="Arial" w:cs="Arial"/>
          <w:color w:val="000000"/>
          <w:lang w:val="uk-UA"/>
        </w:rPr>
        <w:t xml:space="preserve">низьким рівнем доходу та дуже сильно залежали від припущень </w:t>
      </w:r>
      <w:r w:rsidR="00805DF9">
        <w:rPr>
          <w:rFonts w:ascii="Arial" w:hAnsi="Arial" w:cs="Arial"/>
          <w:color w:val="000000"/>
          <w:lang w:val="uk-UA"/>
        </w:rPr>
        <w:t>при узагальненні</w:t>
      </w:r>
      <w:r w:rsidR="00E568A1" w:rsidRPr="00C32A5C">
        <w:rPr>
          <w:rFonts w:ascii="Arial" w:hAnsi="Arial" w:cs="Arial"/>
          <w:color w:val="000000"/>
          <w:lang w:val="uk-UA"/>
        </w:rPr>
        <w:t xml:space="preserve"> результатів випр</w:t>
      </w:r>
      <w:r w:rsidR="00447940">
        <w:rPr>
          <w:rFonts w:ascii="Arial" w:hAnsi="Arial" w:cs="Arial"/>
          <w:color w:val="000000"/>
          <w:lang w:val="uk-UA"/>
        </w:rPr>
        <w:t>обування, які проводилися у звичайних умовах інших сайтів</w:t>
      </w:r>
      <w:r w:rsidR="00E568A1" w:rsidRPr="00C32A5C">
        <w:rPr>
          <w:rFonts w:ascii="Arial" w:hAnsi="Arial" w:cs="Arial"/>
          <w:color w:val="000000"/>
          <w:lang w:val="uk-UA"/>
        </w:rPr>
        <w:t>.</w:t>
      </w:r>
      <w:r w:rsidR="00E568A1">
        <w:rPr>
          <w:rFonts w:ascii="Arial" w:hAnsi="Arial" w:cs="Arial"/>
          <w:color w:val="000000"/>
          <w:lang w:val="uk-UA"/>
        </w:rPr>
        <w:t xml:space="preserve"> </w:t>
      </w:r>
      <w:r w:rsidR="00447940">
        <w:rPr>
          <w:rFonts w:ascii="Arial" w:hAnsi="Arial" w:cs="Arial"/>
          <w:color w:val="000000"/>
          <w:lang w:val="uk-UA"/>
        </w:rPr>
        <w:t xml:space="preserve">ЕГ зазначила, що необхідно </w:t>
      </w:r>
      <w:r w:rsidR="00E568A1" w:rsidRPr="00E76E86">
        <w:rPr>
          <w:rFonts w:ascii="Arial" w:hAnsi="Arial" w:cs="Arial"/>
          <w:color w:val="000000"/>
          <w:lang w:val="uk-UA"/>
        </w:rPr>
        <w:t>провести додатковий аналіз для пер</w:t>
      </w:r>
      <w:r w:rsidR="00447940">
        <w:rPr>
          <w:rFonts w:ascii="Arial" w:hAnsi="Arial" w:cs="Arial"/>
          <w:color w:val="000000"/>
          <w:lang w:val="uk-UA"/>
        </w:rPr>
        <w:t>евірки надійності припущень на різних сайтах і що оцінка доступності лікування повинна проводитися окремо</w:t>
      </w:r>
      <w:r w:rsidR="00E568A1" w:rsidRPr="00E76E86">
        <w:rPr>
          <w:rFonts w:ascii="Arial" w:hAnsi="Arial" w:cs="Arial"/>
          <w:color w:val="000000"/>
          <w:lang w:val="uk-UA"/>
        </w:rPr>
        <w:t xml:space="preserve">. Оскільки рекомендація ЕГ полягає в тому, щоб використовувати бедаквілін </w:t>
      </w:r>
      <w:r>
        <w:rPr>
          <w:rFonts w:ascii="Arial" w:hAnsi="Arial" w:cs="Arial"/>
          <w:color w:val="000000"/>
          <w:lang w:val="uk-UA"/>
        </w:rPr>
        <w:t xml:space="preserve">лише для окремих підгруп всієї популяції </w:t>
      </w:r>
      <w:r w:rsidR="00E568A1" w:rsidRPr="00E76E86">
        <w:rPr>
          <w:rFonts w:ascii="Arial" w:hAnsi="Arial" w:cs="Arial"/>
          <w:color w:val="000000"/>
          <w:lang w:val="uk-UA"/>
        </w:rPr>
        <w:t xml:space="preserve">пацієнтів з </w:t>
      </w:r>
      <w:r w:rsidR="009B51D9">
        <w:rPr>
          <w:rFonts w:ascii="Arial" w:hAnsi="Arial" w:cs="Arial"/>
          <w:color w:val="000000"/>
          <w:lang w:val="uk-UA"/>
        </w:rPr>
        <w:t>МР ТБ</w:t>
      </w:r>
      <w:r w:rsidR="00E568A1" w:rsidRPr="00E76E86">
        <w:rPr>
          <w:rFonts w:ascii="Arial" w:hAnsi="Arial" w:cs="Arial"/>
          <w:color w:val="000000"/>
          <w:lang w:val="uk-UA"/>
        </w:rPr>
        <w:t xml:space="preserve"> (на відміну від усіх пацієнтів з </w:t>
      </w:r>
      <w:r w:rsidR="009B51D9">
        <w:rPr>
          <w:rFonts w:ascii="Arial" w:hAnsi="Arial" w:cs="Arial"/>
          <w:color w:val="000000"/>
          <w:lang w:val="uk-UA"/>
        </w:rPr>
        <w:t>МР ТБ</w:t>
      </w:r>
      <w:r w:rsidR="00E568A1" w:rsidRPr="00E76E86">
        <w:rPr>
          <w:rFonts w:ascii="Arial" w:hAnsi="Arial" w:cs="Arial"/>
          <w:color w:val="000000"/>
          <w:lang w:val="uk-UA"/>
        </w:rPr>
        <w:t xml:space="preserve">, які були враховані при аналізі </w:t>
      </w:r>
      <w:r>
        <w:rPr>
          <w:rFonts w:ascii="Arial" w:hAnsi="Arial" w:cs="Arial"/>
          <w:color w:val="000000"/>
          <w:lang w:val="uk-UA"/>
        </w:rPr>
        <w:t xml:space="preserve">економічної </w:t>
      </w:r>
      <w:r w:rsidR="00805DF9">
        <w:rPr>
          <w:rFonts w:ascii="Arial" w:hAnsi="Arial" w:cs="Arial"/>
          <w:color w:val="000000"/>
          <w:lang w:val="uk-UA"/>
        </w:rPr>
        <w:t>ефективності), модель економічної</w:t>
      </w:r>
      <w:r w:rsidR="00E568A1" w:rsidRPr="00E76E86">
        <w:rPr>
          <w:rFonts w:ascii="Arial" w:hAnsi="Arial" w:cs="Arial"/>
          <w:color w:val="000000"/>
          <w:lang w:val="uk-UA"/>
        </w:rPr>
        <w:t xml:space="preserve"> ефективності потребує подальшого вдосконалення таким чином, щоб ре</w:t>
      </w:r>
      <w:r w:rsidR="00447940">
        <w:rPr>
          <w:rFonts w:ascii="Arial" w:hAnsi="Arial" w:cs="Arial"/>
          <w:color w:val="000000"/>
          <w:lang w:val="uk-UA"/>
        </w:rPr>
        <w:t xml:space="preserve">зультати були </w:t>
      </w:r>
      <w:r w:rsidR="00E568A1" w:rsidRPr="00E76E86">
        <w:rPr>
          <w:rFonts w:ascii="Arial" w:hAnsi="Arial" w:cs="Arial"/>
          <w:color w:val="000000"/>
          <w:lang w:val="uk-UA"/>
        </w:rPr>
        <w:t>доступними конкретно для цих підгруп.</w:t>
      </w:r>
    </w:p>
    <w:p w14:paraId="1FB3C0E8" w14:textId="77777777" w:rsidR="00E568A1" w:rsidRPr="00A81BDF" w:rsidRDefault="00E568A1" w:rsidP="009B51D9">
      <w:pPr>
        <w:autoSpaceDE w:val="0"/>
        <w:autoSpaceDN w:val="0"/>
        <w:adjustRightInd w:val="0"/>
        <w:spacing w:after="0" w:line="240" w:lineRule="auto"/>
        <w:jc w:val="both"/>
        <w:outlineLvl w:val="0"/>
        <w:rPr>
          <w:rFonts w:ascii="Arial" w:hAnsi="Arial" w:cs="Arial"/>
          <w:color w:val="FFFFFF"/>
        </w:rPr>
      </w:pPr>
      <w:r w:rsidRPr="00A81BDF">
        <w:rPr>
          <w:rFonts w:ascii="Arial" w:hAnsi="Arial" w:cs="Arial"/>
          <w:color w:val="FFFFFF"/>
        </w:rPr>
        <w:t>26</w:t>
      </w:r>
    </w:p>
    <w:p w14:paraId="4DFC3DC0" w14:textId="77777777" w:rsidR="00E568A1" w:rsidRPr="006C2528" w:rsidRDefault="00E568A1" w:rsidP="009B51D9">
      <w:pPr>
        <w:autoSpaceDE w:val="0"/>
        <w:autoSpaceDN w:val="0"/>
        <w:adjustRightInd w:val="0"/>
        <w:spacing w:after="0" w:line="240" w:lineRule="auto"/>
        <w:jc w:val="both"/>
        <w:outlineLvl w:val="0"/>
        <w:rPr>
          <w:rFonts w:ascii="Arial" w:hAnsi="Arial" w:cs="Arial"/>
          <w:b/>
          <w:bCs/>
          <w:color w:val="6A2041"/>
          <w:sz w:val="32"/>
          <w:szCs w:val="32"/>
          <w:lang w:val="uk-UA"/>
        </w:rPr>
      </w:pPr>
      <w:r w:rsidRPr="006C2528">
        <w:rPr>
          <w:rFonts w:ascii="Arial" w:hAnsi="Arial" w:cs="Arial"/>
          <w:b/>
          <w:bCs/>
          <w:color w:val="6A2041"/>
          <w:sz w:val="32"/>
          <w:szCs w:val="32"/>
        </w:rPr>
        <w:t xml:space="preserve">5. </w:t>
      </w:r>
      <w:r w:rsidRPr="006C2528">
        <w:rPr>
          <w:rFonts w:ascii="Arial" w:hAnsi="Arial" w:cs="Arial"/>
          <w:b/>
          <w:bCs/>
          <w:color w:val="6A2041"/>
          <w:sz w:val="32"/>
          <w:szCs w:val="32"/>
          <w:lang w:val="uk-UA"/>
        </w:rPr>
        <w:t>Рекомендації Експертної Групи</w:t>
      </w:r>
    </w:p>
    <w:p w14:paraId="60D9D4CD" w14:textId="77777777" w:rsidR="00E568A1" w:rsidRPr="0011456E" w:rsidRDefault="00E568A1" w:rsidP="0037724F">
      <w:pPr>
        <w:autoSpaceDE w:val="0"/>
        <w:autoSpaceDN w:val="0"/>
        <w:adjustRightInd w:val="0"/>
        <w:spacing w:after="0" w:line="240" w:lineRule="auto"/>
        <w:jc w:val="both"/>
        <w:rPr>
          <w:rFonts w:ascii="Arial" w:hAnsi="Arial" w:cs="Arial"/>
          <w:b/>
          <w:bCs/>
          <w:color w:val="6A2041"/>
          <w:sz w:val="20"/>
          <w:szCs w:val="20"/>
        </w:rPr>
      </w:pPr>
    </w:p>
    <w:p w14:paraId="1FC5A573" w14:textId="67548791" w:rsidR="00E568A1" w:rsidRPr="00B4178E"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11456E">
        <w:rPr>
          <w:rFonts w:ascii="Arial" w:hAnsi="Arial" w:cs="Arial"/>
          <w:b/>
          <w:bCs/>
          <w:color w:val="6A2041"/>
          <w:sz w:val="28"/>
          <w:szCs w:val="28"/>
        </w:rPr>
        <w:t xml:space="preserve">5.1. </w:t>
      </w:r>
      <w:r w:rsidR="00B4178E">
        <w:rPr>
          <w:rFonts w:ascii="Arial" w:hAnsi="Arial" w:cs="Arial"/>
          <w:b/>
          <w:bCs/>
          <w:color w:val="6A2041"/>
          <w:sz w:val="28"/>
          <w:szCs w:val="28"/>
          <w:lang w:val="uk-UA"/>
        </w:rPr>
        <w:t>Сукупність</w:t>
      </w:r>
      <w:r w:rsidR="00447940">
        <w:rPr>
          <w:rFonts w:ascii="Arial" w:hAnsi="Arial" w:cs="Arial"/>
          <w:b/>
          <w:bCs/>
          <w:color w:val="6A2041"/>
          <w:sz w:val="28"/>
          <w:szCs w:val="28"/>
          <w:lang w:val="uk-UA"/>
        </w:rPr>
        <w:t xml:space="preserve"> доказів для розробки</w:t>
      </w:r>
      <w:r w:rsidRPr="0011456E">
        <w:rPr>
          <w:rFonts w:ascii="Arial" w:hAnsi="Arial" w:cs="Arial"/>
          <w:b/>
          <w:bCs/>
          <w:color w:val="6A2041"/>
          <w:sz w:val="28"/>
          <w:szCs w:val="28"/>
          <w:lang w:val="uk-UA"/>
        </w:rPr>
        <w:t xml:space="preserve"> рекомендацій</w:t>
      </w:r>
    </w:p>
    <w:p w14:paraId="7C68F29B" w14:textId="77777777" w:rsidR="00E568A1" w:rsidRPr="00805DF9" w:rsidRDefault="00E568A1" w:rsidP="0037724F">
      <w:pPr>
        <w:autoSpaceDE w:val="0"/>
        <w:autoSpaceDN w:val="0"/>
        <w:adjustRightInd w:val="0"/>
        <w:spacing w:after="0" w:line="240" w:lineRule="auto"/>
        <w:jc w:val="both"/>
        <w:rPr>
          <w:rFonts w:ascii="Arial" w:hAnsi="Arial" w:cs="Arial"/>
          <w:color w:val="000000"/>
          <w:sz w:val="16"/>
          <w:szCs w:val="16"/>
        </w:rPr>
      </w:pPr>
    </w:p>
    <w:p w14:paraId="61302F99" w14:textId="692561FC" w:rsidR="00E568A1" w:rsidRDefault="00805DF9"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Ґ</w:t>
      </w:r>
      <w:r w:rsidR="00E568A1" w:rsidRPr="00E76E86">
        <w:rPr>
          <w:rFonts w:ascii="Arial" w:hAnsi="Arial" w:cs="Arial"/>
          <w:color w:val="000000"/>
          <w:lang w:val="uk-UA"/>
        </w:rPr>
        <w:t xml:space="preserve">рунтуючись на процесі GRADE, EГ мала низький рівень </w:t>
      </w:r>
      <w:r w:rsidR="00B4178E">
        <w:rPr>
          <w:rFonts w:ascii="Arial" w:hAnsi="Arial" w:cs="Arial"/>
          <w:color w:val="000000"/>
          <w:lang w:val="uk-UA"/>
        </w:rPr>
        <w:t xml:space="preserve">впевненності </w:t>
      </w:r>
      <w:r w:rsidR="00E568A1" w:rsidRPr="00E76E86">
        <w:rPr>
          <w:rFonts w:ascii="Arial" w:hAnsi="Arial" w:cs="Arial"/>
          <w:color w:val="000000"/>
          <w:lang w:val="uk-UA"/>
        </w:rPr>
        <w:t xml:space="preserve">щодо </w:t>
      </w:r>
      <w:r w:rsidR="007D3500">
        <w:rPr>
          <w:rFonts w:ascii="Arial" w:hAnsi="Arial" w:cs="Arial"/>
          <w:color w:val="000000"/>
          <w:lang w:val="uk-UA"/>
        </w:rPr>
        <w:t>застосування</w:t>
      </w:r>
      <w:r w:rsidR="00E568A1" w:rsidRPr="00E76E86">
        <w:rPr>
          <w:rFonts w:ascii="Arial" w:hAnsi="Arial" w:cs="Arial"/>
          <w:color w:val="000000"/>
          <w:lang w:val="uk-UA"/>
        </w:rPr>
        <w:t xml:space="preserve"> наявних даних для прийняття </w:t>
      </w:r>
      <w:r w:rsidR="00B4178E">
        <w:rPr>
          <w:rFonts w:ascii="Arial" w:hAnsi="Arial" w:cs="Arial"/>
          <w:color w:val="000000"/>
          <w:lang w:val="uk-UA"/>
        </w:rPr>
        <w:t>глобального рішення та</w:t>
      </w:r>
      <w:r w:rsidR="00E568A1" w:rsidRPr="00E76E86">
        <w:rPr>
          <w:rFonts w:ascii="Arial" w:hAnsi="Arial" w:cs="Arial"/>
          <w:color w:val="000000"/>
          <w:lang w:val="uk-UA"/>
        </w:rPr>
        <w:t xml:space="preserve"> враховуючи обмеженість наявних данних.</w:t>
      </w:r>
      <w:r w:rsidR="00E568A1">
        <w:rPr>
          <w:rFonts w:ascii="Arial" w:hAnsi="Arial" w:cs="Arial"/>
          <w:color w:val="000000"/>
          <w:lang w:val="uk-UA"/>
        </w:rPr>
        <w:t xml:space="preserve"> </w:t>
      </w:r>
      <w:r w:rsidR="00E568A1" w:rsidRPr="00062274">
        <w:rPr>
          <w:rFonts w:ascii="Arial" w:hAnsi="Arial" w:cs="Arial"/>
          <w:color w:val="000000"/>
          <w:lang w:val="uk-UA"/>
        </w:rPr>
        <w:t xml:space="preserve">Виникли побоювання щодо неточності та опосередкованості даних внаслідок незначного розміру вибірки, </w:t>
      </w:r>
      <w:r w:rsidR="007D3500">
        <w:rPr>
          <w:rFonts w:ascii="Arial" w:hAnsi="Arial" w:cs="Arial"/>
          <w:color w:val="000000"/>
          <w:lang w:val="uk-UA"/>
        </w:rPr>
        <w:t>застосування</w:t>
      </w:r>
      <w:r w:rsidR="00E568A1" w:rsidRPr="00062274">
        <w:rPr>
          <w:rFonts w:ascii="Arial" w:hAnsi="Arial" w:cs="Arial"/>
          <w:color w:val="000000"/>
          <w:lang w:val="uk-UA"/>
        </w:rPr>
        <w:t xml:space="preserve"> </w:t>
      </w:r>
      <w:r w:rsidR="00B4178E" w:rsidRPr="00062274">
        <w:rPr>
          <w:rFonts w:ascii="Arial" w:hAnsi="Arial" w:cs="Arial"/>
          <w:color w:val="000000"/>
          <w:lang w:val="uk-UA"/>
        </w:rPr>
        <w:t xml:space="preserve">аналізу </w:t>
      </w:r>
      <w:r w:rsidR="00E568A1" w:rsidRPr="00062274">
        <w:rPr>
          <w:rFonts w:ascii="Arial" w:hAnsi="Arial" w:cs="Arial"/>
          <w:color w:val="000000"/>
          <w:lang w:val="uk-UA"/>
        </w:rPr>
        <w:t xml:space="preserve">mITT (тобто не ITT) та низької якості даних </w:t>
      </w:r>
      <w:r w:rsidR="00B4178E">
        <w:rPr>
          <w:rFonts w:ascii="Arial" w:hAnsi="Arial" w:cs="Arial"/>
          <w:color w:val="000000"/>
          <w:lang w:val="uk-UA"/>
        </w:rPr>
        <w:t xml:space="preserve">щодо </w:t>
      </w:r>
      <w:r w:rsidR="00E568A1" w:rsidRPr="00062274">
        <w:rPr>
          <w:rFonts w:ascii="Arial" w:hAnsi="Arial" w:cs="Arial"/>
          <w:color w:val="000000"/>
          <w:lang w:val="uk-UA"/>
        </w:rPr>
        <w:t xml:space="preserve">фонових режимів лікування </w:t>
      </w:r>
      <w:r w:rsidR="009B51D9">
        <w:rPr>
          <w:rFonts w:ascii="Arial" w:hAnsi="Arial" w:cs="Arial"/>
          <w:color w:val="000000"/>
          <w:lang w:val="uk-UA"/>
        </w:rPr>
        <w:t>МР ТБ</w:t>
      </w:r>
      <w:r w:rsidR="00CF61FD">
        <w:rPr>
          <w:rFonts w:ascii="Arial" w:hAnsi="Arial" w:cs="Arial"/>
          <w:color w:val="000000"/>
          <w:lang w:val="uk-UA"/>
        </w:rPr>
        <w:t>, які  були використані під час випробування</w:t>
      </w:r>
      <w:r w:rsidR="00E568A1" w:rsidRPr="00062274">
        <w:rPr>
          <w:rFonts w:ascii="Arial" w:hAnsi="Arial" w:cs="Arial"/>
          <w:color w:val="000000"/>
          <w:lang w:val="uk-UA"/>
        </w:rPr>
        <w:t>. Зокрема, ЕГ б</w:t>
      </w:r>
      <w:r w:rsidR="00CF61FD">
        <w:rPr>
          <w:rFonts w:ascii="Arial" w:hAnsi="Arial" w:cs="Arial"/>
          <w:color w:val="000000"/>
          <w:lang w:val="uk-UA"/>
        </w:rPr>
        <w:t>ула стурбована низьким показником</w:t>
      </w:r>
      <w:r w:rsidR="00E568A1" w:rsidRPr="00062274">
        <w:rPr>
          <w:rFonts w:ascii="Arial" w:hAnsi="Arial" w:cs="Arial"/>
          <w:color w:val="000000"/>
          <w:lang w:val="uk-UA"/>
        </w:rPr>
        <w:t xml:space="preserve"> одужання на 120-й тиждень, який спостерігався у групі плацебо, порівняно з тим, про який було повідомлено в останніх опублікованих оглядах.</w:t>
      </w:r>
      <w:r w:rsidR="00E568A1" w:rsidRPr="00B4178E">
        <w:rPr>
          <w:rFonts w:ascii="Arial" w:hAnsi="Arial" w:cs="Arial"/>
          <w:b/>
          <w:color w:val="000000"/>
          <w:vertAlign w:val="superscript"/>
          <w:lang w:val="uk-UA"/>
        </w:rPr>
        <w:t>18, 19, 20</w:t>
      </w:r>
      <w:r w:rsidR="00E568A1">
        <w:rPr>
          <w:rFonts w:ascii="Arial" w:hAnsi="Arial" w:cs="Arial"/>
          <w:color w:val="000000"/>
          <w:vertAlign w:val="superscript"/>
          <w:lang w:val="uk-UA"/>
        </w:rPr>
        <w:t xml:space="preserve">  </w:t>
      </w:r>
      <w:r w:rsidR="00E568A1" w:rsidRPr="009949EC">
        <w:rPr>
          <w:rFonts w:ascii="Arial" w:hAnsi="Arial" w:cs="Arial"/>
          <w:color w:val="000000"/>
          <w:lang w:val="uk-UA"/>
        </w:rPr>
        <w:t xml:space="preserve">Це може свідчити про те, що пацієнти, включені до процесу випробування, не були репрезентативними для широкого загалу населення з </w:t>
      </w:r>
      <w:r w:rsidR="009B51D9">
        <w:rPr>
          <w:rFonts w:ascii="Arial" w:hAnsi="Arial" w:cs="Arial"/>
          <w:color w:val="000000"/>
          <w:lang w:val="uk-UA"/>
        </w:rPr>
        <w:t>МР ТБ</w:t>
      </w:r>
      <w:r w:rsidR="00F116EA">
        <w:rPr>
          <w:rFonts w:ascii="Arial" w:hAnsi="Arial" w:cs="Arial"/>
          <w:color w:val="000000"/>
          <w:lang w:val="uk-UA"/>
        </w:rPr>
        <w:t>, і що результатів</w:t>
      </w:r>
      <w:r w:rsidR="00E568A1" w:rsidRPr="009949EC">
        <w:rPr>
          <w:rFonts w:ascii="Arial" w:hAnsi="Arial" w:cs="Arial"/>
          <w:color w:val="000000"/>
          <w:lang w:val="uk-UA"/>
        </w:rPr>
        <w:t>, які спостерігалис</w:t>
      </w:r>
      <w:r w:rsidR="00F116EA">
        <w:rPr>
          <w:rFonts w:ascii="Arial" w:hAnsi="Arial" w:cs="Arial"/>
          <w:color w:val="000000"/>
          <w:lang w:val="uk-UA"/>
        </w:rPr>
        <w:t xml:space="preserve">я в групі бедаквіліну, ймовірно, не можна очікувати в </w:t>
      </w:r>
      <w:r w:rsidR="00E568A1" w:rsidRPr="009949EC">
        <w:rPr>
          <w:rFonts w:ascii="Arial" w:hAnsi="Arial" w:cs="Arial"/>
          <w:color w:val="000000"/>
          <w:lang w:val="uk-UA"/>
        </w:rPr>
        <w:t>умов</w:t>
      </w:r>
      <w:r w:rsidR="00F116EA">
        <w:rPr>
          <w:rFonts w:ascii="Arial" w:hAnsi="Arial" w:cs="Arial"/>
          <w:color w:val="000000"/>
          <w:lang w:val="uk-UA"/>
        </w:rPr>
        <w:t>ах</w:t>
      </w:r>
      <w:r w:rsidR="00E568A1" w:rsidRPr="009949EC">
        <w:rPr>
          <w:rFonts w:ascii="Arial" w:hAnsi="Arial" w:cs="Arial"/>
          <w:color w:val="000000"/>
          <w:lang w:val="uk-UA"/>
        </w:rPr>
        <w:t xml:space="preserve"> програми.</w:t>
      </w:r>
    </w:p>
    <w:p w14:paraId="1FF810A2" w14:textId="77777777" w:rsidR="006C2528" w:rsidRDefault="006C2528" w:rsidP="0037724F">
      <w:pPr>
        <w:autoSpaceDE w:val="0"/>
        <w:autoSpaceDN w:val="0"/>
        <w:adjustRightInd w:val="0"/>
        <w:spacing w:after="0" w:line="240" w:lineRule="auto"/>
        <w:jc w:val="both"/>
        <w:rPr>
          <w:rFonts w:ascii="Arial" w:hAnsi="Arial" w:cs="Arial"/>
          <w:color w:val="000000"/>
          <w:lang w:val="uk-UA"/>
        </w:rPr>
      </w:pPr>
    </w:p>
    <w:p w14:paraId="3D0B066B" w14:textId="5D646365" w:rsidR="00E568A1" w:rsidRDefault="00E568A1" w:rsidP="0037724F">
      <w:pPr>
        <w:autoSpaceDE w:val="0"/>
        <w:autoSpaceDN w:val="0"/>
        <w:adjustRightInd w:val="0"/>
        <w:spacing w:after="0" w:line="240" w:lineRule="auto"/>
        <w:jc w:val="both"/>
        <w:rPr>
          <w:rFonts w:ascii="Arial" w:hAnsi="Arial" w:cs="Arial"/>
          <w:color w:val="000000"/>
          <w:lang w:val="uk-UA"/>
        </w:rPr>
      </w:pPr>
      <w:r w:rsidRPr="00026EAB">
        <w:rPr>
          <w:rFonts w:ascii="Arial" w:hAnsi="Arial" w:cs="Arial"/>
          <w:color w:val="000000"/>
          <w:lang w:val="uk-UA"/>
        </w:rPr>
        <w:t xml:space="preserve">ЕГ також обговорила можливість підготувати висновки щодо різних підгруп пацієнтів з </w:t>
      </w:r>
      <w:r w:rsidR="009B51D9">
        <w:rPr>
          <w:rFonts w:ascii="Arial" w:hAnsi="Arial" w:cs="Arial"/>
          <w:color w:val="000000"/>
          <w:lang w:val="uk-UA"/>
        </w:rPr>
        <w:t>МР ТБ</w:t>
      </w:r>
      <w:r w:rsidRPr="00026EAB">
        <w:rPr>
          <w:rFonts w:ascii="Arial" w:hAnsi="Arial" w:cs="Arial"/>
          <w:color w:val="000000"/>
          <w:lang w:val="uk-UA"/>
        </w:rPr>
        <w:t>, таких як пацієнти зі штамами, стійкими до будь-яких фторхіно</w:t>
      </w:r>
      <w:r w:rsidR="00DC52EF">
        <w:rPr>
          <w:rFonts w:ascii="Arial" w:hAnsi="Arial" w:cs="Arial"/>
          <w:color w:val="000000"/>
          <w:lang w:val="uk-UA"/>
        </w:rPr>
        <w:t>лонів або ін'єкційних ліків</w:t>
      </w:r>
      <w:r w:rsidRPr="00026EAB">
        <w:rPr>
          <w:rFonts w:ascii="Arial" w:hAnsi="Arial" w:cs="Arial"/>
          <w:color w:val="000000"/>
          <w:lang w:val="uk-UA"/>
        </w:rPr>
        <w:t xml:space="preserve">. Не було жодних даних щодо застосування препарату пацієнтами з </w:t>
      </w:r>
      <w:r w:rsidR="003229B4">
        <w:rPr>
          <w:rFonts w:ascii="Arial" w:hAnsi="Arial" w:cs="Arial"/>
          <w:color w:val="000000"/>
          <w:lang w:val="uk-UA"/>
        </w:rPr>
        <w:t>РР ТБ</w:t>
      </w:r>
      <w:r w:rsidRPr="00026EAB">
        <w:rPr>
          <w:rFonts w:ascii="Arial" w:hAnsi="Arial" w:cs="Arial"/>
          <w:color w:val="000000"/>
          <w:lang w:val="uk-UA"/>
        </w:rPr>
        <w:t>, оскільки такі пацієнти були виключені з аналізу mITT.</w:t>
      </w:r>
      <w:r>
        <w:rPr>
          <w:rFonts w:ascii="Arial" w:hAnsi="Arial" w:cs="Arial"/>
          <w:color w:val="000000"/>
          <w:lang w:val="uk-UA"/>
        </w:rPr>
        <w:t xml:space="preserve"> </w:t>
      </w:r>
      <w:r w:rsidRPr="00A5325E">
        <w:rPr>
          <w:rFonts w:ascii="Arial" w:hAnsi="Arial" w:cs="Arial"/>
          <w:color w:val="000000"/>
          <w:lang w:val="uk-UA"/>
        </w:rPr>
        <w:t xml:space="preserve">Була відсутня інформація,  крім статусу </w:t>
      </w:r>
      <w:r w:rsidR="009B51D9">
        <w:rPr>
          <w:rFonts w:ascii="Arial" w:hAnsi="Arial" w:cs="Arial"/>
          <w:color w:val="000000"/>
          <w:lang w:val="uk-UA"/>
        </w:rPr>
        <w:t>МР ТБ</w:t>
      </w:r>
      <w:r w:rsidRPr="00A5325E">
        <w:rPr>
          <w:rFonts w:ascii="Arial" w:hAnsi="Arial" w:cs="Arial"/>
          <w:color w:val="000000"/>
          <w:lang w:val="uk-UA"/>
        </w:rPr>
        <w:t>, стос</w:t>
      </w:r>
      <w:r w:rsidR="00DC52EF">
        <w:rPr>
          <w:rFonts w:ascii="Arial" w:hAnsi="Arial" w:cs="Arial"/>
          <w:color w:val="000000"/>
          <w:lang w:val="uk-UA"/>
        </w:rPr>
        <w:t>овно тестування на чутливість під час діагностики</w:t>
      </w:r>
      <w:r w:rsidRPr="00A5325E">
        <w:rPr>
          <w:rFonts w:ascii="Arial" w:hAnsi="Arial" w:cs="Arial"/>
          <w:color w:val="000000"/>
          <w:lang w:val="uk-UA"/>
        </w:rPr>
        <w:t xml:space="preserve">. Тим не менше, члени ЕГ відчували, що </w:t>
      </w:r>
      <w:r w:rsidR="007D3500">
        <w:rPr>
          <w:rFonts w:ascii="Arial" w:hAnsi="Arial" w:cs="Arial"/>
          <w:color w:val="000000"/>
          <w:lang w:val="uk-UA"/>
        </w:rPr>
        <w:t>застосування</w:t>
      </w:r>
      <w:r w:rsidRPr="00A5325E">
        <w:rPr>
          <w:rFonts w:ascii="Arial" w:hAnsi="Arial" w:cs="Arial"/>
          <w:color w:val="000000"/>
          <w:lang w:val="uk-UA"/>
        </w:rPr>
        <w:t xml:space="preserve"> бедаквіліну пацієнтами з </w:t>
      </w:r>
      <w:r w:rsidR="003229B4">
        <w:rPr>
          <w:rFonts w:ascii="Arial" w:hAnsi="Arial" w:cs="Arial"/>
          <w:color w:val="000000"/>
          <w:lang w:val="uk-UA"/>
        </w:rPr>
        <w:t>РР ТБ</w:t>
      </w:r>
      <w:r w:rsidRPr="00A5325E">
        <w:rPr>
          <w:rFonts w:ascii="Arial" w:hAnsi="Arial" w:cs="Arial"/>
          <w:color w:val="000000"/>
          <w:lang w:val="uk-UA"/>
        </w:rPr>
        <w:t xml:space="preserve"> або тими, хто має резистентність або протипоказання </w:t>
      </w:r>
      <w:r w:rsidR="00CF61FD">
        <w:rPr>
          <w:rFonts w:ascii="Arial" w:hAnsi="Arial" w:cs="Arial"/>
          <w:color w:val="000000"/>
          <w:lang w:val="uk-UA"/>
        </w:rPr>
        <w:t>до фторхінолонів або ін'єкційних препаратів</w:t>
      </w:r>
      <w:r w:rsidRPr="00A5325E">
        <w:rPr>
          <w:rFonts w:ascii="Arial" w:hAnsi="Arial" w:cs="Arial"/>
          <w:color w:val="000000"/>
          <w:lang w:val="uk-UA"/>
        </w:rPr>
        <w:t xml:space="preserve">, може мати додаткові </w:t>
      </w:r>
      <w:r w:rsidR="0000407D">
        <w:rPr>
          <w:rFonts w:ascii="Arial" w:hAnsi="Arial" w:cs="Arial"/>
          <w:color w:val="000000"/>
          <w:lang w:val="uk-UA"/>
        </w:rPr>
        <w:t>користь</w:t>
      </w:r>
      <w:r w:rsidRPr="00A5325E">
        <w:rPr>
          <w:rFonts w:ascii="Arial" w:hAnsi="Arial" w:cs="Arial"/>
          <w:color w:val="000000"/>
          <w:lang w:val="uk-UA"/>
        </w:rPr>
        <w:t>, враховуючи, що опції лікування для цих хворих суттєво скорочені.</w:t>
      </w:r>
    </w:p>
    <w:p w14:paraId="30589C82" w14:textId="00C19292" w:rsidR="006C2528" w:rsidRPr="00A5325E" w:rsidRDefault="006C2528" w:rsidP="006C2528">
      <w:pPr>
        <w:autoSpaceDE w:val="0"/>
        <w:autoSpaceDN w:val="0"/>
        <w:adjustRightInd w:val="0"/>
        <w:spacing w:after="0" w:line="240" w:lineRule="auto"/>
        <w:jc w:val="both"/>
        <w:rPr>
          <w:rFonts w:ascii="Arial" w:hAnsi="Arial" w:cs="Arial"/>
          <w:color w:val="000000"/>
          <w:lang w:val="en-US"/>
        </w:rPr>
      </w:pPr>
      <w:r>
        <w:rPr>
          <w:rFonts w:ascii="Arial" w:hAnsi="Arial" w:cs="Arial"/>
          <w:color w:val="000000"/>
        </w:rPr>
        <w:t xml:space="preserve">ЕГ також дійшли </w:t>
      </w:r>
      <w:r w:rsidR="002D30D3" w:rsidRPr="00A5325E">
        <w:rPr>
          <w:rFonts w:ascii="Arial" w:hAnsi="Arial" w:cs="Arial"/>
          <w:color w:val="000000"/>
        </w:rPr>
        <w:t xml:space="preserve">висновку, що рекомендації можуть бути зроблені тільки щодо </w:t>
      </w:r>
      <w:r w:rsidR="002D30D3">
        <w:rPr>
          <w:rFonts w:ascii="Arial" w:hAnsi="Arial" w:cs="Arial"/>
          <w:color w:val="000000"/>
        </w:rPr>
        <w:t>застосування</w:t>
      </w:r>
      <w:r>
        <w:rPr>
          <w:rFonts w:ascii="Arial" w:hAnsi="Arial" w:cs="Arial"/>
          <w:color w:val="000000"/>
        </w:rPr>
        <w:t xml:space="preserve"> бедаквіліну як додат</w:t>
      </w:r>
      <w:r w:rsidR="002D30D3" w:rsidRPr="00A5325E">
        <w:rPr>
          <w:rFonts w:ascii="Arial" w:hAnsi="Arial" w:cs="Arial"/>
          <w:color w:val="000000"/>
        </w:rPr>
        <w:t>к</w:t>
      </w:r>
      <w:r>
        <w:rPr>
          <w:rFonts w:ascii="Arial" w:hAnsi="Arial" w:cs="Arial"/>
          <w:color w:val="000000"/>
        </w:rPr>
        <w:t>ового препарату</w:t>
      </w:r>
      <w:r w:rsidR="002D30D3" w:rsidRPr="00A5325E">
        <w:rPr>
          <w:rFonts w:ascii="Arial" w:hAnsi="Arial" w:cs="Arial"/>
          <w:color w:val="000000"/>
        </w:rPr>
        <w:t xml:space="preserve"> до поточних режимів, рекомендованих ВООЗ. Бедаквілін не повинен замінювати зазвичай рекомендовані препарати для лікування </w:t>
      </w:r>
      <w:r w:rsidR="002D30D3">
        <w:rPr>
          <w:rFonts w:ascii="Arial" w:hAnsi="Arial" w:cs="Arial"/>
          <w:color w:val="000000"/>
        </w:rPr>
        <w:t>МР</w:t>
      </w:r>
      <w:r w:rsidRPr="006C2528">
        <w:rPr>
          <w:rFonts w:ascii="Arial" w:hAnsi="Arial" w:cs="Arial"/>
          <w:color w:val="000000"/>
        </w:rPr>
        <w:t xml:space="preserve"> </w:t>
      </w:r>
      <w:r>
        <w:rPr>
          <w:rFonts w:ascii="Arial" w:hAnsi="Arial" w:cs="Arial"/>
          <w:color w:val="000000"/>
        </w:rPr>
        <w:t>ТБ</w:t>
      </w:r>
      <w:r w:rsidRPr="00A5325E">
        <w:rPr>
          <w:rFonts w:ascii="Arial" w:hAnsi="Arial" w:cs="Arial"/>
          <w:color w:val="000000"/>
        </w:rPr>
        <w:t xml:space="preserve">, якщо тільки вони не вважаються неефективними. </w:t>
      </w:r>
      <w:r w:rsidRPr="00A5325E">
        <w:rPr>
          <w:rFonts w:ascii="Arial" w:hAnsi="Arial" w:cs="Arial"/>
          <w:color w:val="000000"/>
          <w:vertAlign w:val="superscript"/>
          <w:lang w:val="en-US"/>
        </w:rPr>
        <w:t>21</w:t>
      </w:r>
    </w:p>
    <w:p w14:paraId="5278EB7C" w14:textId="77777777" w:rsidR="006C2528" w:rsidRPr="00E446E4" w:rsidRDefault="006C2528" w:rsidP="006C2528">
      <w:pPr>
        <w:autoSpaceDE w:val="0"/>
        <w:autoSpaceDN w:val="0"/>
        <w:adjustRightInd w:val="0"/>
        <w:spacing w:after="0" w:line="240" w:lineRule="auto"/>
        <w:jc w:val="both"/>
        <w:rPr>
          <w:rFonts w:ascii="Arial" w:hAnsi="Arial" w:cs="Arial"/>
          <w:color w:val="000000"/>
          <w:sz w:val="20"/>
          <w:szCs w:val="20"/>
          <w:lang w:val="uk-UA"/>
        </w:rPr>
      </w:pPr>
    </w:p>
    <w:p w14:paraId="03EEE019" w14:textId="77777777" w:rsidR="006C2528" w:rsidRPr="001F7657" w:rsidRDefault="006C2528" w:rsidP="006C2528">
      <w:pPr>
        <w:autoSpaceDE w:val="0"/>
        <w:autoSpaceDN w:val="0"/>
        <w:adjustRightInd w:val="0"/>
        <w:spacing w:after="0" w:line="240" w:lineRule="auto"/>
        <w:jc w:val="both"/>
        <w:rPr>
          <w:rFonts w:ascii="Arial" w:hAnsi="Arial" w:cs="Arial"/>
          <w:color w:val="000000"/>
          <w:lang w:val="uk-UA"/>
        </w:rPr>
      </w:pPr>
      <w:r w:rsidRPr="001F7657">
        <w:rPr>
          <w:rFonts w:ascii="Arial" w:hAnsi="Arial" w:cs="Arial"/>
          <w:color w:val="000000"/>
          <w:lang w:val="uk-UA"/>
        </w:rPr>
        <w:t>Існувала помірна згода про те, що якість доказів стосовно переваг була "низькою" внаслідок неточності та опосередкованості, та значна згода з приводу того, що якість доказів стосовно шкоди була "низькою" або "дуже низькою" через неточність, опосередкованість та ризик помилки. ЕГ висловила особливе занепокоєння з приводу ризику смертності, з високим ступенем невизна</w:t>
      </w:r>
      <w:r>
        <w:rPr>
          <w:rFonts w:ascii="Arial" w:hAnsi="Arial" w:cs="Arial"/>
          <w:color w:val="000000"/>
          <w:lang w:val="uk-UA"/>
        </w:rPr>
        <w:t>ченості щодо доказів</w:t>
      </w:r>
      <w:r w:rsidRPr="001F7657">
        <w:rPr>
          <w:rFonts w:ascii="Arial" w:hAnsi="Arial" w:cs="Arial"/>
          <w:color w:val="000000"/>
          <w:lang w:val="uk-UA"/>
        </w:rPr>
        <w:t>.</w:t>
      </w:r>
    </w:p>
    <w:p w14:paraId="6B02120E" w14:textId="72884E88" w:rsidR="00CF61FD" w:rsidRDefault="00CF61FD"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_______________________</w:t>
      </w:r>
    </w:p>
    <w:p w14:paraId="27877BCE" w14:textId="77777777" w:rsidR="00CF61FD" w:rsidRPr="006C2528" w:rsidRDefault="00CF61FD" w:rsidP="00CF61FD">
      <w:pPr>
        <w:autoSpaceDE w:val="0"/>
        <w:autoSpaceDN w:val="0"/>
        <w:adjustRightInd w:val="0"/>
        <w:spacing w:after="0" w:line="240" w:lineRule="auto"/>
        <w:jc w:val="both"/>
        <w:rPr>
          <w:rFonts w:ascii="Arial" w:hAnsi="Arial" w:cs="Arial"/>
          <w:color w:val="000000"/>
          <w:sz w:val="15"/>
          <w:szCs w:val="15"/>
          <w:lang w:val="uk-UA"/>
        </w:rPr>
      </w:pPr>
      <w:r w:rsidRPr="006C2528">
        <w:rPr>
          <w:rFonts w:ascii="Arial" w:hAnsi="Arial" w:cs="Arial"/>
          <w:b/>
          <w:color w:val="000000"/>
          <w:sz w:val="15"/>
          <w:szCs w:val="15"/>
          <w:vertAlign w:val="superscript"/>
          <w:lang w:val="uk-UA"/>
        </w:rPr>
        <w:t xml:space="preserve">18 </w:t>
      </w:r>
      <w:r w:rsidRPr="006C2528">
        <w:rPr>
          <w:rFonts w:ascii="Arial" w:hAnsi="Arial" w:cs="Arial"/>
          <w:color w:val="000000"/>
          <w:sz w:val="15"/>
          <w:szCs w:val="15"/>
          <w:lang w:val="en-US"/>
        </w:rPr>
        <w:t>Ahuja</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SD</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et</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al</w:t>
      </w:r>
      <w:r w:rsidRPr="006C2528">
        <w:rPr>
          <w:rFonts w:ascii="Arial" w:hAnsi="Arial" w:cs="Arial"/>
          <w:color w:val="000000"/>
          <w:sz w:val="15"/>
          <w:szCs w:val="15"/>
          <w:lang w:val="uk-UA"/>
        </w:rPr>
        <w:t xml:space="preserve">. Режими лікування мультирезистентного туберкульозу легенів та даних пацієнтів: дані мета-аналізу окремих пацієнтів з числа 9 153 осіб. </w:t>
      </w:r>
      <w:r w:rsidRPr="006C2528">
        <w:rPr>
          <w:rFonts w:ascii="Arial" w:hAnsi="Arial" w:cs="Arial"/>
          <w:i/>
          <w:iCs/>
          <w:color w:val="000000"/>
          <w:sz w:val="15"/>
          <w:szCs w:val="15"/>
          <w:lang w:val="en-US"/>
        </w:rPr>
        <w:t>PLoS</w:t>
      </w:r>
      <w:r w:rsidRPr="006C2528">
        <w:rPr>
          <w:rFonts w:ascii="Arial" w:hAnsi="Arial" w:cs="Arial"/>
          <w:i/>
          <w:iCs/>
          <w:color w:val="000000"/>
          <w:sz w:val="15"/>
          <w:szCs w:val="15"/>
          <w:lang w:val="uk-UA"/>
        </w:rPr>
        <w:t xml:space="preserve"> </w:t>
      </w:r>
      <w:r w:rsidRPr="006C2528">
        <w:rPr>
          <w:rFonts w:ascii="Arial" w:hAnsi="Arial" w:cs="Arial"/>
          <w:i/>
          <w:iCs/>
          <w:color w:val="000000"/>
          <w:sz w:val="15"/>
          <w:szCs w:val="15"/>
          <w:lang w:val="en-US"/>
        </w:rPr>
        <w:t>Medicine</w:t>
      </w:r>
      <w:r w:rsidRPr="006C2528">
        <w:rPr>
          <w:rFonts w:ascii="Arial" w:hAnsi="Arial" w:cs="Arial"/>
          <w:color w:val="000000"/>
          <w:sz w:val="15"/>
          <w:szCs w:val="15"/>
          <w:lang w:val="uk-UA"/>
        </w:rPr>
        <w:t xml:space="preserve"> 2012;9(8</w:t>
      </w:r>
      <w:proofErr w:type="gramStart"/>
      <w:r w:rsidRPr="006C2528">
        <w:rPr>
          <w:rFonts w:ascii="Arial" w:hAnsi="Arial" w:cs="Arial"/>
          <w:color w:val="000000"/>
          <w:sz w:val="15"/>
          <w:szCs w:val="15"/>
          <w:lang w:val="uk-UA"/>
        </w:rPr>
        <w:t>):</w:t>
      </w:r>
      <w:r w:rsidRPr="006C2528">
        <w:rPr>
          <w:rFonts w:ascii="Arial" w:hAnsi="Arial" w:cs="Arial"/>
          <w:color w:val="000000"/>
          <w:sz w:val="15"/>
          <w:szCs w:val="15"/>
          <w:lang w:val="en-US"/>
        </w:rPr>
        <w:t>e</w:t>
      </w:r>
      <w:proofErr w:type="gramEnd"/>
      <w:r w:rsidRPr="006C2528">
        <w:rPr>
          <w:rFonts w:ascii="Arial" w:hAnsi="Arial" w:cs="Arial"/>
          <w:color w:val="000000"/>
          <w:sz w:val="15"/>
          <w:szCs w:val="15"/>
          <w:lang w:val="uk-UA"/>
        </w:rPr>
        <w:t>1001300.</w:t>
      </w:r>
    </w:p>
    <w:p w14:paraId="13A562CF" w14:textId="77777777" w:rsidR="00CF61FD" w:rsidRPr="006C2528" w:rsidRDefault="00CF61FD" w:rsidP="00CF61FD">
      <w:pPr>
        <w:autoSpaceDE w:val="0"/>
        <w:autoSpaceDN w:val="0"/>
        <w:adjustRightInd w:val="0"/>
        <w:spacing w:after="0" w:line="240" w:lineRule="auto"/>
        <w:jc w:val="both"/>
        <w:rPr>
          <w:rFonts w:ascii="Arial" w:hAnsi="Arial" w:cs="Arial"/>
          <w:color w:val="000000"/>
          <w:sz w:val="15"/>
          <w:szCs w:val="15"/>
          <w:lang w:val="uk-UA"/>
        </w:rPr>
      </w:pPr>
      <w:r w:rsidRPr="006C2528">
        <w:rPr>
          <w:rFonts w:ascii="Arial" w:hAnsi="Arial" w:cs="Arial"/>
          <w:b/>
          <w:color w:val="000000"/>
          <w:sz w:val="15"/>
          <w:szCs w:val="15"/>
          <w:vertAlign w:val="superscript"/>
          <w:lang w:val="uk-UA"/>
        </w:rPr>
        <w:t>19</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Orenstein</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EW</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et</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al</w:t>
      </w:r>
      <w:r w:rsidRPr="006C2528">
        <w:rPr>
          <w:rFonts w:ascii="Arial" w:hAnsi="Arial" w:cs="Arial"/>
          <w:color w:val="000000"/>
          <w:sz w:val="15"/>
          <w:szCs w:val="15"/>
          <w:lang w:val="uk-UA"/>
        </w:rPr>
        <w:t xml:space="preserve">. Результати лікування пацієнтів мультирезистентним ТБ: систематичний огляд та мет-аналіз.  </w:t>
      </w:r>
      <w:r w:rsidR="00D96CB6" w:rsidRPr="006C2528">
        <w:rPr>
          <w:rFonts w:ascii="Arial" w:hAnsi="Arial" w:cs="Arial"/>
          <w:color w:val="000000"/>
          <w:sz w:val="15"/>
          <w:szCs w:val="15"/>
          <w:lang w:val="en-US"/>
        </w:rPr>
        <w:t>Lancet</w:t>
      </w:r>
      <w:r w:rsidR="00D96CB6" w:rsidRPr="006C2528">
        <w:rPr>
          <w:rFonts w:ascii="Arial" w:hAnsi="Arial" w:cs="Arial"/>
          <w:color w:val="000000"/>
          <w:sz w:val="15"/>
          <w:szCs w:val="15"/>
          <w:lang w:val="uk-UA"/>
        </w:rPr>
        <w:t xml:space="preserve"> інфекційні захворювання, березень </w:t>
      </w:r>
      <w:r w:rsidRPr="006C2528">
        <w:rPr>
          <w:rFonts w:ascii="Arial" w:hAnsi="Arial" w:cs="Arial"/>
          <w:color w:val="000000"/>
          <w:sz w:val="15"/>
          <w:szCs w:val="15"/>
          <w:lang w:val="uk-UA"/>
        </w:rPr>
        <w:t xml:space="preserve">2009 </w:t>
      </w:r>
      <w:r w:rsidR="00D96CB6" w:rsidRPr="006C2528">
        <w:rPr>
          <w:rFonts w:ascii="Arial" w:hAnsi="Arial" w:cs="Arial"/>
          <w:color w:val="000000"/>
          <w:sz w:val="15"/>
          <w:szCs w:val="15"/>
          <w:lang w:val="uk-UA"/>
        </w:rPr>
        <w:t>р. 9</w:t>
      </w:r>
      <w:r w:rsidRPr="006C2528">
        <w:rPr>
          <w:rFonts w:ascii="Arial" w:hAnsi="Arial" w:cs="Arial"/>
          <w:color w:val="000000"/>
          <w:sz w:val="15"/>
          <w:szCs w:val="15"/>
          <w:lang w:val="uk-UA"/>
        </w:rPr>
        <w:t>(3):153–61.</w:t>
      </w:r>
    </w:p>
    <w:p w14:paraId="4ACC51ED" w14:textId="77777777" w:rsidR="00CF61FD" w:rsidRPr="006C2528" w:rsidRDefault="00CF61FD" w:rsidP="00CF61FD">
      <w:pPr>
        <w:autoSpaceDE w:val="0"/>
        <w:autoSpaceDN w:val="0"/>
        <w:adjustRightInd w:val="0"/>
        <w:spacing w:after="0" w:line="240" w:lineRule="auto"/>
        <w:jc w:val="both"/>
        <w:rPr>
          <w:rFonts w:ascii="Arial" w:hAnsi="Arial" w:cs="Arial"/>
          <w:color w:val="000000"/>
          <w:sz w:val="15"/>
          <w:szCs w:val="15"/>
          <w:lang w:val="en-US"/>
        </w:rPr>
      </w:pPr>
      <w:r w:rsidRPr="006C2528">
        <w:rPr>
          <w:rFonts w:ascii="Arial" w:hAnsi="Arial" w:cs="Arial"/>
          <w:b/>
          <w:color w:val="000000"/>
          <w:sz w:val="15"/>
          <w:szCs w:val="15"/>
          <w:vertAlign w:val="superscript"/>
          <w:lang w:val="uk-UA"/>
        </w:rPr>
        <w:t xml:space="preserve">20 </w:t>
      </w:r>
      <w:r w:rsidRPr="006C2528">
        <w:rPr>
          <w:rFonts w:ascii="Arial" w:hAnsi="Arial" w:cs="Arial"/>
          <w:color w:val="000000"/>
          <w:sz w:val="15"/>
          <w:szCs w:val="15"/>
          <w:lang w:val="en-US"/>
        </w:rPr>
        <w:t>Johnston</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JC</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Shahidi</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NC</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Sadatsafavi</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M</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and</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Fitzgerald</w:t>
      </w:r>
      <w:r w:rsidRPr="006C2528">
        <w:rPr>
          <w:rFonts w:ascii="Arial" w:hAnsi="Arial" w:cs="Arial"/>
          <w:color w:val="000000"/>
          <w:sz w:val="15"/>
          <w:szCs w:val="15"/>
          <w:lang w:val="uk-UA"/>
        </w:rPr>
        <w:t xml:space="preserve"> </w:t>
      </w:r>
      <w:r w:rsidRPr="006C2528">
        <w:rPr>
          <w:rFonts w:ascii="Arial" w:hAnsi="Arial" w:cs="Arial"/>
          <w:color w:val="000000"/>
          <w:sz w:val="15"/>
          <w:szCs w:val="15"/>
          <w:lang w:val="en-US"/>
        </w:rPr>
        <w:t>JM</w:t>
      </w:r>
      <w:r w:rsidRPr="006C2528">
        <w:rPr>
          <w:rFonts w:ascii="Arial" w:hAnsi="Arial" w:cs="Arial"/>
          <w:color w:val="000000"/>
          <w:sz w:val="15"/>
          <w:szCs w:val="15"/>
          <w:lang w:val="uk-UA"/>
        </w:rPr>
        <w:t xml:space="preserve">. </w:t>
      </w:r>
      <w:r w:rsidR="00D96CB6" w:rsidRPr="006C2528">
        <w:rPr>
          <w:rFonts w:ascii="Arial" w:hAnsi="Arial" w:cs="Arial"/>
          <w:color w:val="000000"/>
          <w:sz w:val="15"/>
          <w:szCs w:val="15"/>
        </w:rPr>
        <w:t>Результати лікування мультирезистентного ТБ: систематичний огляд та мета-аналіз.</w:t>
      </w:r>
      <w:r w:rsidRPr="006C2528">
        <w:rPr>
          <w:rFonts w:ascii="Arial" w:hAnsi="Arial" w:cs="Arial"/>
          <w:color w:val="000000"/>
          <w:sz w:val="15"/>
          <w:szCs w:val="15"/>
        </w:rPr>
        <w:t xml:space="preserve"> </w:t>
      </w:r>
      <w:r w:rsidRPr="006C2528">
        <w:rPr>
          <w:rFonts w:ascii="Arial" w:hAnsi="Arial" w:cs="Arial"/>
          <w:i/>
          <w:iCs/>
          <w:color w:val="000000"/>
          <w:sz w:val="15"/>
          <w:szCs w:val="15"/>
          <w:lang w:val="en-US"/>
        </w:rPr>
        <w:t>PLoS ONE</w:t>
      </w:r>
      <w:r w:rsidRPr="006C2528">
        <w:rPr>
          <w:rFonts w:ascii="Arial" w:hAnsi="Arial" w:cs="Arial"/>
          <w:color w:val="000000"/>
          <w:sz w:val="15"/>
          <w:szCs w:val="15"/>
          <w:lang w:val="en-US"/>
        </w:rPr>
        <w:t xml:space="preserve">. </w:t>
      </w:r>
      <w:r w:rsidR="00D96CB6" w:rsidRPr="006C2528">
        <w:rPr>
          <w:rFonts w:ascii="Arial" w:hAnsi="Arial" w:cs="Arial"/>
          <w:color w:val="000000"/>
          <w:sz w:val="15"/>
          <w:szCs w:val="15"/>
          <w:lang w:val="uk-UA"/>
        </w:rPr>
        <w:t xml:space="preserve">Вересень </w:t>
      </w:r>
      <w:r w:rsidRPr="006C2528">
        <w:rPr>
          <w:rFonts w:ascii="Arial" w:hAnsi="Arial" w:cs="Arial"/>
          <w:color w:val="000000"/>
          <w:sz w:val="15"/>
          <w:szCs w:val="15"/>
          <w:lang w:val="en-US"/>
        </w:rPr>
        <w:t>2009 9;4(9):e6914.</w:t>
      </w:r>
    </w:p>
    <w:p w14:paraId="2404B57F" w14:textId="77777777" w:rsidR="006C2528" w:rsidRDefault="006C2528" w:rsidP="006C2528">
      <w:pPr>
        <w:autoSpaceDE w:val="0"/>
        <w:autoSpaceDN w:val="0"/>
        <w:adjustRightInd w:val="0"/>
        <w:spacing w:after="0" w:line="240" w:lineRule="auto"/>
        <w:jc w:val="both"/>
        <w:rPr>
          <w:rFonts w:ascii="Arial" w:hAnsi="Arial" w:cs="Arial"/>
          <w:i/>
          <w:iCs/>
          <w:color w:val="000000"/>
          <w:sz w:val="15"/>
          <w:szCs w:val="15"/>
        </w:rPr>
      </w:pPr>
      <w:r w:rsidRPr="006C2528">
        <w:rPr>
          <w:rFonts w:ascii="Arial" w:hAnsi="Arial" w:cs="Arial"/>
          <w:b/>
          <w:color w:val="000000"/>
          <w:sz w:val="15"/>
          <w:szCs w:val="15"/>
          <w:vertAlign w:val="superscript"/>
        </w:rPr>
        <w:t>21</w:t>
      </w:r>
      <w:r w:rsidRPr="006C2528">
        <w:rPr>
          <w:rFonts w:ascii="Arial" w:hAnsi="Arial" w:cs="Arial"/>
          <w:color w:val="000000"/>
          <w:sz w:val="15"/>
          <w:szCs w:val="15"/>
        </w:rPr>
        <w:t xml:space="preserve"> ВООЗ. Рекомендації щодо програмного лікування медикаментозно резистентного туберкульозу, оновлення 2011 року. (</w:t>
      </w:r>
      <w:r w:rsidRPr="006C2528">
        <w:rPr>
          <w:rFonts w:ascii="Arial" w:hAnsi="Arial" w:cs="Arial"/>
          <w:color w:val="000000"/>
          <w:sz w:val="15"/>
          <w:szCs w:val="15"/>
          <w:lang w:val="en-US"/>
        </w:rPr>
        <w:t>WHO</w:t>
      </w:r>
      <w:r w:rsidRPr="006C2528">
        <w:rPr>
          <w:rFonts w:ascii="Arial" w:hAnsi="Arial" w:cs="Arial"/>
          <w:color w:val="000000"/>
          <w:sz w:val="15"/>
          <w:szCs w:val="15"/>
        </w:rPr>
        <w:t>/</w:t>
      </w:r>
      <w:r w:rsidRPr="006C2528">
        <w:rPr>
          <w:rFonts w:ascii="Arial" w:hAnsi="Arial" w:cs="Arial"/>
          <w:color w:val="000000"/>
          <w:sz w:val="15"/>
          <w:szCs w:val="15"/>
          <w:lang w:val="en-US"/>
        </w:rPr>
        <w:t>HTM</w:t>
      </w:r>
      <w:r w:rsidRPr="006C2528">
        <w:rPr>
          <w:rFonts w:ascii="Arial" w:hAnsi="Arial" w:cs="Arial"/>
          <w:color w:val="000000"/>
          <w:sz w:val="15"/>
          <w:szCs w:val="15"/>
        </w:rPr>
        <w:t>/</w:t>
      </w:r>
      <w:r w:rsidRPr="006C2528">
        <w:rPr>
          <w:rFonts w:ascii="Arial" w:hAnsi="Arial" w:cs="Arial"/>
          <w:color w:val="000000"/>
          <w:sz w:val="15"/>
          <w:szCs w:val="15"/>
          <w:lang w:val="en-US"/>
        </w:rPr>
        <w:t>TB</w:t>
      </w:r>
      <w:r w:rsidRPr="006C2528">
        <w:rPr>
          <w:rFonts w:ascii="Arial" w:hAnsi="Arial" w:cs="Arial"/>
          <w:color w:val="000000"/>
          <w:sz w:val="15"/>
          <w:szCs w:val="15"/>
        </w:rPr>
        <w:t xml:space="preserve">/2011.6). </w:t>
      </w:r>
      <w:r w:rsidRPr="006C2528">
        <w:rPr>
          <w:rFonts w:ascii="Arial" w:hAnsi="Arial" w:cs="Arial"/>
          <w:color w:val="000000"/>
          <w:sz w:val="15"/>
          <w:szCs w:val="15"/>
          <w:lang w:val="uk-UA"/>
        </w:rPr>
        <w:t>Женева</w:t>
      </w:r>
      <w:r w:rsidRPr="006C2528">
        <w:rPr>
          <w:rFonts w:ascii="Arial" w:hAnsi="Arial" w:cs="Arial"/>
          <w:color w:val="000000"/>
          <w:sz w:val="15"/>
          <w:szCs w:val="15"/>
        </w:rPr>
        <w:t xml:space="preserve">, </w:t>
      </w:r>
      <w:r w:rsidRPr="006C2528">
        <w:rPr>
          <w:rFonts w:ascii="Arial" w:hAnsi="Arial" w:cs="Arial"/>
          <w:color w:val="000000"/>
          <w:sz w:val="15"/>
          <w:szCs w:val="15"/>
          <w:lang w:val="uk-UA"/>
        </w:rPr>
        <w:t>Всесвітня Організація Охорони Здоров</w:t>
      </w:r>
      <w:r w:rsidRPr="006C2528">
        <w:rPr>
          <w:rFonts w:ascii="Arial" w:hAnsi="Arial" w:cs="Arial"/>
          <w:color w:val="000000"/>
          <w:sz w:val="15"/>
          <w:szCs w:val="15"/>
        </w:rPr>
        <w:t>’</w:t>
      </w:r>
      <w:r w:rsidRPr="006C2528">
        <w:rPr>
          <w:rFonts w:ascii="Arial" w:hAnsi="Arial" w:cs="Arial"/>
          <w:color w:val="000000"/>
          <w:sz w:val="15"/>
          <w:szCs w:val="15"/>
          <w:lang w:val="uk-UA"/>
        </w:rPr>
        <w:t>я</w:t>
      </w:r>
      <w:r w:rsidRPr="006C2528">
        <w:rPr>
          <w:rFonts w:ascii="Arial" w:hAnsi="Arial" w:cs="Arial"/>
          <w:color w:val="000000"/>
          <w:sz w:val="15"/>
          <w:szCs w:val="15"/>
        </w:rPr>
        <w:t>, 2011.</w:t>
      </w:r>
    </w:p>
    <w:p w14:paraId="1BD3A132" w14:textId="6F56C37D" w:rsidR="00E568A1" w:rsidRPr="006C2528" w:rsidRDefault="00E568A1" w:rsidP="006C2528">
      <w:pPr>
        <w:autoSpaceDE w:val="0"/>
        <w:autoSpaceDN w:val="0"/>
        <w:adjustRightInd w:val="0"/>
        <w:spacing w:after="0" w:line="240" w:lineRule="auto"/>
        <w:jc w:val="both"/>
        <w:rPr>
          <w:rFonts w:ascii="Arial" w:hAnsi="Arial" w:cs="Arial"/>
          <w:i/>
          <w:iCs/>
          <w:color w:val="000000"/>
          <w:sz w:val="15"/>
          <w:szCs w:val="15"/>
        </w:rPr>
      </w:pPr>
      <w:r>
        <w:rPr>
          <w:rFonts w:ascii="Arial" w:hAnsi="Arial" w:cs="Arial"/>
          <w:b/>
          <w:bCs/>
          <w:color w:val="000000"/>
          <w:sz w:val="24"/>
          <w:szCs w:val="24"/>
          <w:lang w:val="uk-UA"/>
        </w:rPr>
        <w:lastRenderedPageBreak/>
        <w:t>Таблиця 6. Про</w:t>
      </w:r>
      <w:r w:rsidR="005B1525">
        <w:rPr>
          <w:rFonts w:ascii="Arial" w:hAnsi="Arial" w:cs="Arial"/>
          <w:b/>
          <w:bCs/>
          <w:color w:val="000000"/>
          <w:sz w:val="24"/>
          <w:szCs w:val="24"/>
          <w:lang w:val="uk-UA"/>
        </w:rPr>
        <w:t>титуберкульозні препарати</w:t>
      </w:r>
      <w:r w:rsidRPr="00451CFD">
        <w:rPr>
          <w:rFonts w:ascii="Arial" w:hAnsi="Arial" w:cs="Arial"/>
          <w:b/>
          <w:bCs/>
          <w:color w:val="000000"/>
          <w:sz w:val="24"/>
          <w:szCs w:val="24"/>
          <w:lang w:val="uk-UA"/>
        </w:rPr>
        <w:t xml:space="preserve"> для лікування чут</w:t>
      </w:r>
      <w:r w:rsidR="00672657">
        <w:rPr>
          <w:rFonts w:ascii="Arial" w:hAnsi="Arial" w:cs="Arial"/>
          <w:b/>
          <w:bCs/>
          <w:color w:val="000000"/>
          <w:sz w:val="24"/>
          <w:szCs w:val="24"/>
          <w:lang w:val="uk-UA"/>
        </w:rPr>
        <w:t xml:space="preserve">ливого та </w:t>
      </w:r>
      <w:r w:rsidR="0085317E" w:rsidRPr="0085317E">
        <w:rPr>
          <w:rFonts w:ascii="Arial" w:hAnsi="Arial" w:cs="Arial"/>
          <w:b/>
          <w:color w:val="000000"/>
          <w:sz w:val="24"/>
          <w:szCs w:val="24"/>
        </w:rPr>
        <w:t xml:space="preserve">лікарсько-стійкого </w:t>
      </w:r>
      <w:r w:rsidRPr="0085317E">
        <w:rPr>
          <w:rFonts w:ascii="Arial" w:hAnsi="Arial" w:cs="Arial"/>
          <w:b/>
          <w:bCs/>
          <w:color w:val="000000"/>
          <w:sz w:val="24"/>
          <w:szCs w:val="24"/>
          <w:lang w:val="uk-UA"/>
        </w:rPr>
        <w:t>ТБ</w:t>
      </w:r>
    </w:p>
    <w:p w14:paraId="20DBB828" w14:textId="77777777" w:rsidR="00E568A1" w:rsidRPr="00713994" w:rsidRDefault="00E568A1" w:rsidP="00713753">
      <w:pPr>
        <w:autoSpaceDE w:val="0"/>
        <w:autoSpaceDN w:val="0"/>
        <w:adjustRightInd w:val="0"/>
        <w:spacing w:after="0" w:line="240" w:lineRule="auto"/>
        <w:jc w:val="center"/>
        <w:rPr>
          <w:rFonts w:ascii="Arial" w:hAnsi="Arial" w:cs="Arial"/>
          <w:color w:val="000000"/>
          <w:sz w:val="18"/>
          <w:szCs w:val="18"/>
        </w:rPr>
      </w:pPr>
    </w:p>
    <w:tbl>
      <w:tblPr>
        <w:tblW w:w="9606" w:type="dxa"/>
        <w:tblLook w:val="00A0" w:firstRow="1" w:lastRow="0" w:firstColumn="1" w:lastColumn="0" w:noHBand="0" w:noVBand="0"/>
      </w:tblPr>
      <w:tblGrid>
        <w:gridCol w:w="4219"/>
        <w:gridCol w:w="5387"/>
      </w:tblGrid>
      <w:tr w:rsidR="00E568A1" w:rsidRPr="00451CFD" w14:paraId="29A0E618" w14:textId="77777777" w:rsidTr="004C1D9D">
        <w:tc>
          <w:tcPr>
            <w:tcW w:w="4219" w:type="dxa"/>
            <w:tcBorders>
              <w:top w:val="single" w:sz="18" w:space="0" w:color="740000"/>
            </w:tcBorders>
            <w:shd w:val="clear" w:color="auto" w:fill="F7CDD0"/>
          </w:tcPr>
          <w:p w14:paraId="2834AAD4" w14:textId="77777777" w:rsidR="00E568A1" w:rsidRPr="00713994" w:rsidRDefault="00E568A1" w:rsidP="00E221F6">
            <w:pPr>
              <w:autoSpaceDE w:val="0"/>
              <w:autoSpaceDN w:val="0"/>
              <w:adjustRightInd w:val="0"/>
              <w:spacing w:after="0" w:line="240" w:lineRule="auto"/>
              <w:jc w:val="both"/>
              <w:rPr>
                <w:rFonts w:ascii="Arial" w:hAnsi="Arial" w:cs="Arial"/>
                <w:color w:val="000000"/>
                <w:sz w:val="10"/>
                <w:szCs w:val="10"/>
              </w:rPr>
            </w:pPr>
          </w:p>
          <w:p w14:paraId="078A47C2" w14:textId="588E941F"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713994">
              <w:rPr>
                <w:rFonts w:ascii="Arial" w:hAnsi="Arial" w:cs="Arial"/>
                <w:color w:val="000000"/>
                <w:sz w:val="18"/>
                <w:szCs w:val="18"/>
              </w:rPr>
              <w:t>Група</w:t>
            </w:r>
            <w:r w:rsidR="005B1525">
              <w:rPr>
                <w:rFonts w:ascii="Arial" w:hAnsi="Arial" w:cs="Arial"/>
                <w:color w:val="000000"/>
                <w:sz w:val="18"/>
                <w:szCs w:val="18"/>
              </w:rPr>
              <w:t xml:space="preserve"> 1   Пероральні препарати</w:t>
            </w:r>
            <w:r w:rsidR="00672657">
              <w:rPr>
                <w:rFonts w:ascii="Arial" w:hAnsi="Arial" w:cs="Arial"/>
                <w:color w:val="000000"/>
                <w:sz w:val="18"/>
                <w:szCs w:val="18"/>
                <w:lang w:val="uk-UA"/>
              </w:rPr>
              <w:t xml:space="preserve"> першого ряду</w:t>
            </w:r>
          </w:p>
        </w:tc>
        <w:tc>
          <w:tcPr>
            <w:tcW w:w="5387" w:type="dxa"/>
            <w:tcBorders>
              <w:top w:val="single" w:sz="18" w:space="0" w:color="740000"/>
            </w:tcBorders>
            <w:shd w:val="clear" w:color="auto" w:fill="F7CDD0"/>
          </w:tcPr>
          <w:p w14:paraId="5EEF8E8E" w14:textId="77777777" w:rsidR="00E568A1" w:rsidRPr="00713994" w:rsidRDefault="00E568A1" w:rsidP="00E221F6">
            <w:pPr>
              <w:autoSpaceDE w:val="0"/>
              <w:autoSpaceDN w:val="0"/>
              <w:adjustRightInd w:val="0"/>
              <w:spacing w:after="0" w:line="240" w:lineRule="auto"/>
              <w:jc w:val="both"/>
              <w:rPr>
                <w:rFonts w:ascii="Arial" w:hAnsi="Arial" w:cs="Arial"/>
                <w:color w:val="000000"/>
                <w:sz w:val="10"/>
                <w:szCs w:val="10"/>
              </w:rPr>
            </w:pPr>
          </w:p>
          <w:p w14:paraId="273CB674" w14:textId="77777777" w:rsidR="00E568A1" w:rsidRPr="00713994" w:rsidRDefault="00E568A1" w:rsidP="00E221F6">
            <w:pPr>
              <w:autoSpaceDE w:val="0"/>
              <w:autoSpaceDN w:val="0"/>
              <w:adjustRightInd w:val="0"/>
              <w:spacing w:after="0" w:line="240" w:lineRule="auto"/>
              <w:jc w:val="both"/>
              <w:rPr>
                <w:rFonts w:ascii="Arial" w:hAnsi="Arial" w:cs="Arial"/>
                <w:color w:val="000000"/>
                <w:sz w:val="18"/>
                <w:szCs w:val="18"/>
              </w:rPr>
            </w:pPr>
            <w:r w:rsidRPr="00713994">
              <w:rPr>
                <w:rFonts w:ascii="Arial" w:hAnsi="Arial" w:cs="Arial"/>
                <w:color w:val="000000"/>
                <w:sz w:val="18"/>
                <w:szCs w:val="18"/>
              </w:rPr>
              <w:t>ізоніазид (Н); рифампіцин (</w:t>
            </w:r>
            <w:r w:rsidRPr="00E221F6">
              <w:rPr>
                <w:rFonts w:ascii="Arial" w:hAnsi="Arial" w:cs="Arial"/>
                <w:color w:val="000000"/>
                <w:sz w:val="18"/>
                <w:szCs w:val="18"/>
                <w:lang w:val="en-US"/>
              </w:rPr>
              <w:t>R</w:t>
            </w:r>
            <w:r w:rsidRPr="00713994">
              <w:rPr>
                <w:rFonts w:ascii="Arial" w:hAnsi="Arial" w:cs="Arial"/>
                <w:color w:val="000000"/>
                <w:sz w:val="18"/>
                <w:szCs w:val="18"/>
              </w:rPr>
              <w:t>); етамбутол (Е); піразинамід</w:t>
            </w:r>
          </w:p>
          <w:p w14:paraId="5F3043F3"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r w:rsidRPr="00E221F6">
              <w:rPr>
                <w:rFonts w:ascii="Arial" w:hAnsi="Arial" w:cs="Arial"/>
                <w:color w:val="000000"/>
                <w:sz w:val="18"/>
                <w:szCs w:val="18"/>
                <w:lang w:val="en-US"/>
              </w:rPr>
              <w:t xml:space="preserve">(Z); рифабутин (Rfb) </w:t>
            </w:r>
            <w:r w:rsidRPr="00E221F6">
              <w:rPr>
                <w:rFonts w:ascii="Arial" w:hAnsi="Arial" w:cs="Arial"/>
                <w:color w:val="000000"/>
                <w:sz w:val="10"/>
                <w:szCs w:val="10"/>
                <w:lang w:val="en-US"/>
              </w:rPr>
              <w:t>a</w:t>
            </w:r>
          </w:p>
          <w:p w14:paraId="59ABA9E0"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r w:rsidRPr="00E221F6">
              <w:rPr>
                <w:rFonts w:ascii="Arial" w:hAnsi="Arial" w:cs="Arial"/>
                <w:color w:val="000000"/>
                <w:sz w:val="18"/>
                <w:szCs w:val="18"/>
                <w:lang w:val="en-US"/>
              </w:rPr>
              <w:t xml:space="preserve"> </w:t>
            </w:r>
          </w:p>
        </w:tc>
      </w:tr>
      <w:tr w:rsidR="00E568A1" w:rsidRPr="00451CFD" w14:paraId="6CC37876" w14:textId="77777777" w:rsidTr="004C1D9D">
        <w:tc>
          <w:tcPr>
            <w:tcW w:w="4219" w:type="dxa"/>
            <w:shd w:val="clear" w:color="auto" w:fill="FDEDED"/>
          </w:tcPr>
          <w:p w14:paraId="1CA7F9E4"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p>
          <w:p w14:paraId="732A6B21" w14:textId="0275CE9C"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Група 2</w:t>
            </w:r>
            <w:r w:rsidRPr="00E221F6">
              <w:rPr>
                <w:rFonts w:ascii="Arial" w:hAnsi="Arial" w:cs="Arial"/>
                <w:color w:val="000000"/>
                <w:sz w:val="18"/>
                <w:szCs w:val="18"/>
                <w:lang w:val="uk-UA"/>
              </w:rPr>
              <w:t xml:space="preserve">  </w:t>
            </w:r>
            <w:r w:rsidR="00620396">
              <w:rPr>
                <w:rFonts w:ascii="Arial" w:hAnsi="Arial" w:cs="Arial"/>
                <w:color w:val="000000"/>
                <w:sz w:val="18"/>
                <w:szCs w:val="18"/>
                <w:lang w:val="en-US"/>
              </w:rPr>
              <w:t xml:space="preserve"> Ін'єкційні </w:t>
            </w:r>
          </w:p>
        </w:tc>
        <w:tc>
          <w:tcPr>
            <w:tcW w:w="5387" w:type="dxa"/>
            <w:shd w:val="clear" w:color="auto" w:fill="FDEDED"/>
          </w:tcPr>
          <w:p w14:paraId="3D5CBFE2" w14:textId="77777777" w:rsidR="00E568A1" w:rsidRPr="00A81BDF" w:rsidRDefault="00E568A1" w:rsidP="00E221F6">
            <w:pPr>
              <w:autoSpaceDE w:val="0"/>
              <w:autoSpaceDN w:val="0"/>
              <w:adjustRightInd w:val="0"/>
              <w:spacing w:after="0" w:line="240" w:lineRule="auto"/>
              <w:jc w:val="both"/>
              <w:rPr>
                <w:rFonts w:ascii="Arial" w:hAnsi="Arial" w:cs="Arial"/>
                <w:color w:val="000000"/>
                <w:sz w:val="10"/>
                <w:szCs w:val="10"/>
              </w:rPr>
            </w:pPr>
          </w:p>
          <w:p w14:paraId="2A3A1459" w14:textId="31A38BD3" w:rsidR="00E568A1" w:rsidRPr="00A81BDF" w:rsidRDefault="0085317E" w:rsidP="00E221F6">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канамі</w:t>
            </w:r>
            <w:r w:rsidR="00E568A1" w:rsidRPr="00A81BDF">
              <w:rPr>
                <w:rFonts w:ascii="Arial" w:hAnsi="Arial" w:cs="Arial"/>
                <w:color w:val="000000"/>
                <w:sz w:val="18"/>
                <w:szCs w:val="18"/>
              </w:rPr>
              <w:t>цин (Км); амікацин (Ам); капреоміцин (</w:t>
            </w:r>
            <w:r w:rsidR="00E568A1" w:rsidRPr="00E221F6">
              <w:rPr>
                <w:rFonts w:ascii="Arial" w:hAnsi="Arial" w:cs="Arial"/>
                <w:color w:val="000000"/>
                <w:sz w:val="18"/>
                <w:szCs w:val="18"/>
                <w:lang w:val="en-US"/>
              </w:rPr>
              <w:t>Cm</w:t>
            </w:r>
            <w:r w:rsidR="00E568A1" w:rsidRPr="00A81BDF">
              <w:rPr>
                <w:rFonts w:ascii="Arial" w:hAnsi="Arial" w:cs="Arial"/>
                <w:color w:val="000000"/>
                <w:sz w:val="18"/>
                <w:szCs w:val="18"/>
              </w:rPr>
              <w:t>);</w:t>
            </w:r>
          </w:p>
          <w:p w14:paraId="112B6C9B"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E221F6">
              <w:rPr>
                <w:rFonts w:ascii="Arial" w:hAnsi="Arial" w:cs="Arial"/>
                <w:color w:val="000000"/>
                <w:sz w:val="18"/>
                <w:szCs w:val="18"/>
                <w:lang w:val="en-US"/>
              </w:rPr>
              <w:t>віомицин (Vm); стрептоміцин (S)</w:t>
            </w:r>
          </w:p>
          <w:p w14:paraId="49F23AB8"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tc>
      </w:tr>
      <w:tr w:rsidR="00E568A1" w:rsidRPr="00713994" w14:paraId="05AA21E3" w14:textId="77777777" w:rsidTr="004C1D9D">
        <w:tc>
          <w:tcPr>
            <w:tcW w:w="4219" w:type="dxa"/>
            <w:shd w:val="clear" w:color="auto" w:fill="F7CDD0"/>
          </w:tcPr>
          <w:p w14:paraId="21F13BFB"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p w14:paraId="3E96E26D"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Група 3   Фторхінолони</w:t>
            </w:r>
          </w:p>
        </w:tc>
        <w:tc>
          <w:tcPr>
            <w:tcW w:w="5387" w:type="dxa"/>
            <w:shd w:val="clear" w:color="auto" w:fill="F7CDD0"/>
          </w:tcPr>
          <w:p w14:paraId="3D794C0F" w14:textId="77777777" w:rsidR="00E568A1" w:rsidRPr="00A81BDF" w:rsidRDefault="00E568A1" w:rsidP="00E221F6">
            <w:pPr>
              <w:autoSpaceDE w:val="0"/>
              <w:autoSpaceDN w:val="0"/>
              <w:adjustRightInd w:val="0"/>
              <w:spacing w:after="0" w:line="240" w:lineRule="auto"/>
              <w:jc w:val="both"/>
              <w:rPr>
                <w:rFonts w:ascii="Arial" w:hAnsi="Arial" w:cs="Arial"/>
                <w:color w:val="000000"/>
                <w:sz w:val="10"/>
                <w:szCs w:val="10"/>
                <w:lang w:val="uk-UA"/>
              </w:rPr>
            </w:pPr>
          </w:p>
          <w:p w14:paraId="7167BAD5" w14:textId="192065AD" w:rsidR="00E568A1" w:rsidRPr="00A81BDF" w:rsidRDefault="0091601B" w:rsidP="00E221F6">
            <w:pPr>
              <w:autoSpaceDE w:val="0"/>
              <w:autoSpaceDN w:val="0"/>
              <w:adjustRightInd w:val="0"/>
              <w:spacing w:after="0" w:line="240" w:lineRule="auto"/>
              <w:jc w:val="both"/>
              <w:rPr>
                <w:rFonts w:ascii="Arial" w:hAnsi="Arial" w:cs="Arial"/>
                <w:color w:val="000000"/>
                <w:sz w:val="18"/>
                <w:szCs w:val="18"/>
                <w:lang w:val="uk-UA"/>
              </w:rPr>
            </w:pPr>
            <w:r>
              <w:rPr>
                <w:rFonts w:ascii="Arial" w:hAnsi="Arial" w:cs="Arial"/>
                <w:color w:val="000000"/>
                <w:sz w:val="18"/>
                <w:szCs w:val="18"/>
                <w:lang w:val="uk-UA"/>
              </w:rPr>
              <w:t>моксифлоксацин</w:t>
            </w:r>
            <w:r w:rsidR="00E568A1" w:rsidRPr="00A81BDF">
              <w:rPr>
                <w:rFonts w:ascii="Arial" w:hAnsi="Arial" w:cs="Arial"/>
                <w:color w:val="000000"/>
                <w:sz w:val="18"/>
                <w:szCs w:val="18"/>
                <w:lang w:val="uk-UA"/>
              </w:rPr>
              <w:t xml:space="preserve"> (</w:t>
            </w:r>
            <w:r w:rsidR="00E568A1" w:rsidRPr="00E221F6">
              <w:rPr>
                <w:rFonts w:ascii="Arial" w:hAnsi="Arial" w:cs="Arial"/>
                <w:color w:val="000000"/>
                <w:sz w:val="18"/>
                <w:szCs w:val="18"/>
                <w:lang w:val="en-US"/>
              </w:rPr>
              <w:t>Mfx</w:t>
            </w:r>
            <w:r w:rsidR="00E568A1" w:rsidRPr="00A81BDF">
              <w:rPr>
                <w:rFonts w:ascii="Arial" w:hAnsi="Arial" w:cs="Arial"/>
                <w:color w:val="000000"/>
                <w:sz w:val="18"/>
                <w:szCs w:val="18"/>
                <w:lang w:val="uk-UA"/>
              </w:rPr>
              <w:t xml:space="preserve">); </w:t>
            </w:r>
            <w:r>
              <w:rPr>
                <w:rFonts w:ascii="Arial" w:hAnsi="Arial" w:cs="Arial"/>
                <w:color w:val="000000"/>
                <w:sz w:val="18"/>
                <w:szCs w:val="18"/>
                <w:lang w:val="en-US"/>
              </w:rPr>
              <w:t>левофлоксацин</w:t>
            </w:r>
            <w:r w:rsidR="00E568A1" w:rsidRPr="00A81BDF">
              <w:rPr>
                <w:rFonts w:ascii="Arial" w:hAnsi="Arial" w:cs="Arial"/>
                <w:color w:val="000000"/>
                <w:sz w:val="18"/>
                <w:szCs w:val="18"/>
                <w:lang w:val="uk-UA"/>
              </w:rPr>
              <w:t xml:space="preserve"> (</w:t>
            </w:r>
            <w:r w:rsidR="00E568A1" w:rsidRPr="00E221F6">
              <w:rPr>
                <w:rFonts w:ascii="Arial" w:hAnsi="Arial" w:cs="Arial"/>
                <w:color w:val="000000"/>
                <w:sz w:val="18"/>
                <w:szCs w:val="18"/>
                <w:lang w:val="en-US"/>
              </w:rPr>
              <w:t>Lfx</w:t>
            </w:r>
            <w:r w:rsidR="00E568A1" w:rsidRPr="00A81BDF">
              <w:rPr>
                <w:rFonts w:ascii="Arial" w:hAnsi="Arial" w:cs="Arial"/>
                <w:color w:val="000000"/>
                <w:sz w:val="18"/>
                <w:szCs w:val="18"/>
                <w:lang w:val="uk-UA"/>
              </w:rPr>
              <w:t xml:space="preserve">); </w:t>
            </w:r>
            <w:r>
              <w:rPr>
                <w:rFonts w:ascii="Arial" w:hAnsi="Arial" w:cs="Arial"/>
                <w:color w:val="000000"/>
                <w:sz w:val="18"/>
                <w:szCs w:val="18"/>
                <w:lang w:val="en-US"/>
              </w:rPr>
              <w:t>офлоксацин</w:t>
            </w:r>
            <w:r w:rsidR="00E568A1" w:rsidRPr="00A81BDF">
              <w:rPr>
                <w:rFonts w:ascii="Arial" w:hAnsi="Arial" w:cs="Arial"/>
                <w:color w:val="000000"/>
                <w:sz w:val="18"/>
                <w:szCs w:val="18"/>
                <w:lang w:val="uk-UA"/>
              </w:rPr>
              <w:t xml:space="preserve"> (</w:t>
            </w:r>
            <w:r w:rsidR="00E568A1" w:rsidRPr="00E221F6">
              <w:rPr>
                <w:rFonts w:ascii="Arial" w:hAnsi="Arial" w:cs="Arial"/>
                <w:color w:val="000000"/>
                <w:sz w:val="18"/>
                <w:szCs w:val="18"/>
                <w:lang w:val="en-US"/>
              </w:rPr>
              <w:t>Ofx</w:t>
            </w:r>
            <w:r w:rsidR="00E568A1" w:rsidRPr="00A81BDF">
              <w:rPr>
                <w:rFonts w:ascii="Arial" w:hAnsi="Arial" w:cs="Arial"/>
                <w:color w:val="000000"/>
                <w:sz w:val="18"/>
                <w:szCs w:val="18"/>
                <w:lang w:val="uk-UA"/>
              </w:rPr>
              <w:t>)</w:t>
            </w:r>
          </w:p>
          <w:p w14:paraId="33775FFC" w14:textId="77777777" w:rsidR="00E568A1" w:rsidRPr="00A81BDF" w:rsidRDefault="00E568A1" w:rsidP="00E221F6">
            <w:pPr>
              <w:autoSpaceDE w:val="0"/>
              <w:autoSpaceDN w:val="0"/>
              <w:adjustRightInd w:val="0"/>
              <w:spacing w:after="0" w:line="240" w:lineRule="auto"/>
              <w:jc w:val="both"/>
              <w:rPr>
                <w:rFonts w:ascii="Arial" w:hAnsi="Arial" w:cs="Arial"/>
                <w:color w:val="000000"/>
                <w:sz w:val="18"/>
                <w:szCs w:val="18"/>
                <w:lang w:val="uk-UA"/>
              </w:rPr>
            </w:pPr>
          </w:p>
        </w:tc>
      </w:tr>
      <w:tr w:rsidR="00E568A1" w:rsidRPr="003D02C3" w14:paraId="413DBC5C" w14:textId="77777777" w:rsidTr="004C1D9D">
        <w:tc>
          <w:tcPr>
            <w:tcW w:w="4219" w:type="dxa"/>
            <w:shd w:val="clear" w:color="auto" w:fill="FDEDED"/>
          </w:tcPr>
          <w:p w14:paraId="6AE2C50C" w14:textId="77777777" w:rsidR="00E568A1" w:rsidRPr="00A81BDF" w:rsidRDefault="00E568A1" w:rsidP="00E221F6">
            <w:pPr>
              <w:autoSpaceDE w:val="0"/>
              <w:autoSpaceDN w:val="0"/>
              <w:adjustRightInd w:val="0"/>
              <w:spacing w:after="0" w:line="240" w:lineRule="auto"/>
              <w:jc w:val="both"/>
              <w:rPr>
                <w:rFonts w:ascii="Arial" w:hAnsi="Arial" w:cs="Arial"/>
                <w:color w:val="000000"/>
                <w:sz w:val="10"/>
                <w:szCs w:val="10"/>
                <w:lang w:val="uk-UA"/>
              </w:rPr>
            </w:pPr>
          </w:p>
          <w:p w14:paraId="18AE576C" w14:textId="0F126CD5" w:rsidR="00E568A1" w:rsidRPr="00A81BDF" w:rsidRDefault="00E568A1" w:rsidP="00E221F6">
            <w:pPr>
              <w:autoSpaceDE w:val="0"/>
              <w:autoSpaceDN w:val="0"/>
              <w:adjustRightInd w:val="0"/>
              <w:spacing w:after="0" w:line="240" w:lineRule="auto"/>
              <w:rPr>
                <w:rFonts w:ascii="Arial" w:hAnsi="Arial" w:cs="Arial"/>
                <w:color w:val="000000"/>
                <w:sz w:val="18"/>
                <w:szCs w:val="18"/>
                <w:lang w:val="uk-UA"/>
              </w:rPr>
            </w:pPr>
            <w:r w:rsidRPr="00A81BDF">
              <w:rPr>
                <w:rFonts w:ascii="Arial" w:hAnsi="Arial" w:cs="Arial"/>
                <w:color w:val="000000"/>
                <w:sz w:val="18"/>
                <w:szCs w:val="18"/>
                <w:lang w:val="uk-UA"/>
              </w:rPr>
              <w:t xml:space="preserve">Група 4 </w:t>
            </w:r>
            <w:r w:rsidRPr="00E221F6">
              <w:rPr>
                <w:rFonts w:ascii="Arial" w:hAnsi="Arial" w:cs="Arial"/>
                <w:color w:val="000000"/>
                <w:sz w:val="18"/>
                <w:szCs w:val="18"/>
                <w:lang w:val="uk-UA"/>
              </w:rPr>
              <w:t xml:space="preserve"> </w:t>
            </w:r>
            <w:r w:rsidR="005B1525">
              <w:rPr>
                <w:rFonts w:ascii="Arial" w:hAnsi="Arial" w:cs="Arial"/>
                <w:color w:val="000000"/>
                <w:sz w:val="18"/>
                <w:szCs w:val="18"/>
              </w:rPr>
              <w:t>Пероральні</w:t>
            </w:r>
            <w:r w:rsidR="005B1525" w:rsidRPr="00A81BDF">
              <w:rPr>
                <w:rFonts w:ascii="Arial" w:hAnsi="Arial" w:cs="Arial"/>
                <w:color w:val="000000"/>
                <w:sz w:val="18"/>
                <w:szCs w:val="18"/>
                <w:lang w:val="uk-UA"/>
              </w:rPr>
              <w:t xml:space="preserve"> </w:t>
            </w:r>
            <w:r w:rsidRPr="00A81BDF">
              <w:rPr>
                <w:rFonts w:ascii="Arial" w:hAnsi="Arial" w:cs="Arial"/>
                <w:color w:val="000000"/>
                <w:sz w:val="18"/>
                <w:szCs w:val="18"/>
                <w:lang w:val="uk-UA"/>
              </w:rPr>
              <w:t xml:space="preserve">бактеріостатичні </w:t>
            </w:r>
            <w:r w:rsidR="005B1525">
              <w:rPr>
                <w:rFonts w:ascii="Arial" w:hAnsi="Arial" w:cs="Arial"/>
                <w:color w:val="000000"/>
                <w:sz w:val="18"/>
                <w:szCs w:val="18"/>
                <w:lang w:val="uk-UA"/>
              </w:rPr>
              <w:t xml:space="preserve">препарати </w:t>
            </w:r>
            <w:r w:rsidR="00F0605F">
              <w:rPr>
                <w:rFonts w:ascii="Arial" w:hAnsi="Arial" w:cs="Arial"/>
                <w:color w:val="000000"/>
                <w:sz w:val="18"/>
                <w:szCs w:val="18"/>
                <w:lang w:val="uk-UA"/>
              </w:rPr>
              <w:t>другого ряду</w:t>
            </w:r>
          </w:p>
          <w:p w14:paraId="735C79A9" w14:textId="77777777" w:rsidR="00E568A1" w:rsidRPr="00A81BDF" w:rsidRDefault="00E568A1" w:rsidP="00E221F6">
            <w:pPr>
              <w:autoSpaceDE w:val="0"/>
              <w:autoSpaceDN w:val="0"/>
              <w:adjustRightInd w:val="0"/>
              <w:spacing w:after="0" w:line="240" w:lineRule="auto"/>
              <w:jc w:val="both"/>
              <w:rPr>
                <w:rFonts w:ascii="Arial" w:hAnsi="Arial" w:cs="Arial"/>
                <w:color w:val="000000"/>
                <w:sz w:val="18"/>
                <w:szCs w:val="18"/>
                <w:lang w:val="uk-UA"/>
              </w:rPr>
            </w:pPr>
          </w:p>
        </w:tc>
        <w:tc>
          <w:tcPr>
            <w:tcW w:w="5387" w:type="dxa"/>
            <w:shd w:val="clear" w:color="auto" w:fill="FDEDED"/>
          </w:tcPr>
          <w:p w14:paraId="3DB447C6" w14:textId="77777777" w:rsidR="00E568A1" w:rsidRPr="00A81BDF" w:rsidRDefault="00E568A1" w:rsidP="00E221F6">
            <w:pPr>
              <w:autoSpaceDE w:val="0"/>
              <w:autoSpaceDN w:val="0"/>
              <w:adjustRightInd w:val="0"/>
              <w:spacing w:after="0" w:line="240" w:lineRule="auto"/>
              <w:jc w:val="both"/>
              <w:rPr>
                <w:rFonts w:ascii="Arial" w:hAnsi="Arial" w:cs="Arial"/>
                <w:color w:val="000000"/>
                <w:sz w:val="10"/>
                <w:szCs w:val="10"/>
                <w:lang w:val="uk-UA"/>
              </w:rPr>
            </w:pPr>
          </w:p>
          <w:p w14:paraId="483248AD" w14:textId="77777777" w:rsidR="00E568A1" w:rsidRPr="00A81BDF"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A81BDF">
              <w:rPr>
                <w:rFonts w:ascii="Arial" w:hAnsi="Arial" w:cs="Arial"/>
                <w:color w:val="000000"/>
                <w:sz w:val="18"/>
                <w:szCs w:val="18"/>
                <w:lang w:val="uk-UA"/>
              </w:rPr>
              <w:t>етіонамід (ето); протіонамід (</w:t>
            </w:r>
            <w:r w:rsidRPr="00E221F6">
              <w:rPr>
                <w:rFonts w:ascii="Arial" w:hAnsi="Arial" w:cs="Arial"/>
                <w:color w:val="000000"/>
                <w:sz w:val="18"/>
                <w:szCs w:val="18"/>
                <w:lang w:val="en-US"/>
              </w:rPr>
              <w:t>Pto</w:t>
            </w:r>
            <w:r w:rsidRPr="00A81BDF">
              <w:rPr>
                <w:rFonts w:ascii="Arial" w:hAnsi="Arial" w:cs="Arial"/>
                <w:color w:val="000000"/>
                <w:sz w:val="18"/>
                <w:szCs w:val="18"/>
                <w:lang w:val="uk-UA"/>
              </w:rPr>
              <w:t>); циклосерин (</w:t>
            </w:r>
            <w:r w:rsidRPr="00E221F6">
              <w:rPr>
                <w:rFonts w:ascii="Arial" w:hAnsi="Arial" w:cs="Arial"/>
                <w:color w:val="000000"/>
                <w:sz w:val="18"/>
                <w:szCs w:val="18"/>
                <w:lang w:val="en-US"/>
              </w:rPr>
              <w:t>Cs</w:t>
            </w:r>
            <w:r w:rsidRPr="00A81BDF">
              <w:rPr>
                <w:rFonts w:ascii="Arial" w:hAnsi="Arial" w:cs="Arial"/>
                <w:color w:val="000000"/>
                <w:sz w:val="18"/>
                <w:szCs w:val="18"/>
                <w:lang w:val="uk-UA"/>
              </w:rPr>
              <w:t>);</w:t>
            </w:r>
          </w:p>
          <w:p w14:paraId="4C1AF534" w14:textId="7A5ECEAB" w:rsidR="00E568A1" w:rsidRPr="000B660C" w:rsidRDefault="00E568A1" w:rsidP="00DD0122">
            <w:pPr>
              <w:autoSpaceDE w:val="0"/>
              <w:autoSpaceDN w:val="0"/>
              <w:adjustRightInd w:val="0"/>
              <w:spacing w:after="0" w:line="240" w:lineRule="auto"/>
              <w:jc w:val="both"/>
              <w:rPr>
                <w:rFonts w:ascii="Arial" w:hAnsi="Arial" w:cs="Arial"/>
                <w:color w:val="000000"/>
                <w:sz w:val="18"/>
                <w:szCs w:val="18"/>
                <w:lang w:val="en-US"/>
              </w:rPr>
            </w:pPr>
            <w:r w:rsidRPr="00A81BDF">
              <w:rPr>
                <w:rFonts w:ascii="Arial" w:hAnsi="Arial" w:cs="Arial"/>
                <w:color w:val="000000"/>
                <w:sz w:val="18"/>
                <w:szCs w:val="18"/>
              </w:rPr>
              <w:t>теризідон (</w:t>
            </w:r>
            <w:r w:rsidRPr="00E221F6">
              <w:rPr>
                <w:rFonts w:ascii="Arial" w:hAnsi="Arial" w:cs="Arial"/>
                <w:color w:val="000000"/>
                <w:sz w:val="18"/>
                <w:szCs w:val="18"/>
                <w:lang w:val="en-US"/>
              </w:rPr>
              <w:t>Trd</w:t>
            </w:r>
            <w:r w:rsidRPr="00A81BDF">
              <w:rPr>
                <w:rFonts w:ascii="Arial" w:hAnsi="Arial" w:cs="Arial"/>
                <w:color w:val="000000"/>
                <w:sz w:val="18"/>
                <w:szCs w:val="18"/>
              </w:rPr>
              <w:t>); р-аміносаліцилова кислота</w:t>
            </w:r>
            <w:r w:rsidR="000B660C">
              <w:rPr>
                <w:rFonts w:ascii="Arial" w:hAnsi="Arial" w:cs="Arial"/>
                <w:color w:val="000000"/>
                <w:sz w:val="18"/>
                <w:szCs w:val="18"/>
              </w:rPr>
              <w:t xml:space="preserve"> (</w:t>
            </w:r>
            <w:r w:rsidR="000B660C">
              <w:rPr>
                <w:rFonts w:ascii="Arial" w:hAnsi="Arial" w:cs="Arial"/>
                <w:color w:val="000000"/>
                <w:sz w:val="18"/>
                <w:szCs w:val="18"/>
                <w:lang w:val="en-US"/>
              </w:rPr>
              <w:t>PAS)</w:t>
            </w:r>
          </w:p>
        </w:tc>
      </w:tr>
      <w:tr w:rsidR="00E568A1" w:rsidRPr="00713994" w14:paraId="494706A3" w14:textId="77777777" w:rsidTr="004C1D9D">
        <w:tc>
          <w:tcPr>
            <w:tcW w:w="4219" w:type="dxa"/>
            <w:tcBorders>
              <w:bottom w:val="single" w:sz="18" w:space="0" w:color="740000"/>
            </w:tcBorders>
            <w:shd w:val="clear" w:color="auto" w:fill="F7CDD0"/>
          </w:tcPr>
          <w:p w14:paraId="786FE18C" w14:textId="77777777" w:rsidR="00E568A1" w:rsidRPr="00A81BDF" w:rsidRDefault="00E568A1" w:rsidP="00E221F6">
            <w:pPr>
              <w:autoSpaceDE w:val="0"/>
              <w:autoSpaceDN w:val="0"/>
              <w:adjustRightInd w:val="0"/>
              <w:spacing w:after="0" w:line="240" w:lineRule="auto"/>
              <w:jc w:val="both"/>
              <w:rPr>
                <w:rFonts w:ascii="Arial" w:hAnsi="Arial" w:cs="Arial"/>
                <w:color w:val="000000"/>
                <w:sz w:val="10"/>
                <w:szCs w:val="10"/>
              </w:rPr>
            </w:pPr>
          </w:p>
          <w:p w14:paraId="772CA6AD" w14:textId="68A923EA"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en-US"/>
              </w:rPr>
            </w:pPr>
            <w:r w:rsidRPr="00A81BDF">
              <w:rPr>
                <w:rFonts w:ascii="Arial" w:hAnsi="Arial" w:cs="Arial"/>
                <w:color w:val="000000"/>
                <w:sz w:val="18"/>
                <w:szCs w:val="18"/>
              </w:rPr>
              <w:t xml:space="preserve">Група 5 </w:t>
            </w:r>
            <w:r w:rsidR="005B1525">
              <w:rPr>
                <w:rFonts w:ascii="Arial" w:hAnsi="Arial" w:cs="Arial"/>
                <w:color w:val="000000"/>
                <w:sz w:val="18"/>
                <w:szCs w:val="18"/>
              </w:rPr>
              <w:t xml:space="preserve"> Преперати з не встановленим механізмом дії </w:t>
            </w:r>
            <w:r w:rsidR="005B1525">
              <w:rPr>
                <w:rFonts w:ascii="Arial" w:hAnsi="Arial" w:cs="Arial"/>
                <w:color w:val="000000"/>
                <w:sz w:val="18"/>
                <w:szCs w:val="18"/>
                <w:lang w:val="uk-UA"/>
              </w:rPr>
              <w:t>у лікуванні</w:t>
            </w:r>
            <w:r w:rsidRPr="00A81BDF">
              <w:rPr>
                <w:rFonts w:ascii="Arial" w:hAnsi="Arial" w:cs="Arial"/>
                <w:color w:val="000000"/>
                <w:sz w:val="18"/>
                <w:szCs w:val="18"/>
              </w:rPr>
              <w:t xml:space="preserve"> </w:t>
            </w:r>
            <w:r w:rsidR="005B1525">
              <w:rPr>
                <w:rFonts w:ascii="Arial" w:hAnsi="Arial" w:cs="Arial"/>
                <w:color w:val="000000"/>
                <w:sz w:val="18"/>
                <w:szCs w:val="18"/>
              </w:rPr>
              <w:t xml:space="preserve">МР ТБ (не рекомендовані ВООЗ для рутинного </w:t>
            </w:r>
            <w:r w:rsidR="007D3500">
              <w:rPr>
                <w:rFonts w:ascii="Arial" w:hAnsi="Arial" w:cs="Arial"/>
                <w:color w:val="000000"/>
                <w:sz w:val="18"/>
                <w:szCs w:val="18"/>
              </w:rPr>
              <w:t>застосування</w:t>
            </w:r>
            <w:r w:rsidRPr="00A81BDF">
              <w:rPr>
                <w:rFonts w:ascii="Arial" w:hAnsi="Arial" w:cs="Arial"/>
                <w:color w:val="000000"/>
                <w:sz w:val="18"/>
                <w:szCs w:val="18"/>
              </w:rPr>
              <w:t xml:space="preserve"> пацієнтами з </w:t>
            </w:r>
            <w:r w:rsidR="0085317E">
              <w:rPr>
                <w:rFonts w:ascii="Arial" w:hAnsi="Arial" w:cs="Arial"/>
                <w:color w:val="000000"/>
                <w:sz w:val="18"/>
                <w:szCs w:val="18"/>
              </w:rPr>
              <w:t xml:space="preserve">лікарсько-стійким </w:t>
            </w:r>
            <w:r w:rsidRPr="00E221F6">
              <w:rPr>
                <w:rFonts w:ascii="Arial" w:hAnsi="Arial" w:cs="Arial"/>
                <w:color w:val="000000"/>
                <w:sz w:val="18"/>
                <w:szCs w:val="18"/>
                <w:lang w:val="en-US"/>
              </w:rPr>
              <w:t>ТБ)</w:t>
            </w:r>
          </w:p>
          <w:p w14:paraId="07032D91" w14:textId="77777777" w:rsidR="00E568A1" w:rsidRPr="00E221F6" w:rsidRDefault="00E568A1" w:rsidP="00E221F6">
            <w:pPr>
              <w:autoSpaceDE w:val="0"/>
              <w:autoSpaceDN w:val="0"/>
              <w:adjustRightInd w:val="0"/>
              <w:spacing w:after="0" w:line="240" w:lineRule="auto"/>
              <w:jc w:val="both"/>
              <w:rPr>
                <w:rFonts w:ascii="Arial" w:hAnsi="Arial" w:cs="Arial"/>
                <w:color w:val="000000"/>
                <w:sz w:val="10"/>
                <w:szCs w:val="10"/>
                <w:lang w:val="en-US"/>
              </w:rPr>
            </w:pPr>
          </w:p>
        </w:tc>
        <w:tc>
          <w:tcPr>
            <w:tcW w:w="5387" w:type="dxa"/>
            <w:tcBorders>
              <w:bottom w:val="single" w:sz="18" w:space="0" w:color="740000"/>
            </w:tcBorders>
            <w:shd w:val="clear" w:color="auto" w:fill="F7CDD0"/>
          </w:tcPr>
          <w:p w14:paraId="1FF7CAC0" w14:textId="77777777" w:rsidR="00E568A1" w:rsidRPr="00E221F6" w:rsidRDefault="00E568A1" w:rsidP="00E221F6">
            <w:pPr>
              <w:autoSpaceDE w:val="0"/>
              <w:autoSpaceDN w:val="0"/>
              <w:adjustRightInd w:val="0"/>
              <w:spacing w:after="0" w:line="240" w:lineRule="auto"/>
              <w:rPr>
                <w:rFonts w:ascii="Arial" w:hAnsi="Arial" w:cs="Arial"/>
                <w:color w:val="000000"/>
                <w:sz w:val="10"/>
                <w:szCs w:val="10"/>
                <w:lang w:val="en-US"/>
              </w:rPr>
            </w:pPr>
          </w:p>
          <w:p w14:paraId="0029EEA3" w14:textId="77777777" w:rsidR="00E568A1" w:rsidRPr="00E221F6" w:rsidRDefault="00E568A1" w:rsidP="00E221F6">
            <w:pPr>
              <w:autoSpaceDE w:val="0"/>
              <w:autoSpaceDN w:val="0"/>
              <w:adjustRightInd w:val="0"/>
              <w:spacing w:after="0" w:line="240" w:lineRule="auto"/>
              <w:rPr>
                <w:rFonts w:ascii="Arial" w:hAnsi="Arial" w:cs="Arial"/>
                <w:color w:val="000000"/>
                <w:sz w:val="18"/>
                <w:szCs w:val="18"/>
                <w:lang w:val="en-US"/>
              </w:rPr>
            </w:pPr>
            <w:r w:rsidRPr="00E221F6">
              <w:rPr>
                <w:rFonts w:ascii="Arial" w:hAnsi="Arial" w:cs="Arial"/>
                <w:color w:val="000000"/>
                <w:sz w:val="18"/>
                <w:szCs w:val="18"/>
                <w:lang w:val="en-US"/>
              </w:rPr>
              <w:t>клофазимін (Cfz); лінезолід (Lzd); амоксицилін/ клавуланат</w:t>
            </w:r>
          </w:p>
          <w:p w14:paraId="63B4903F" w14:textId="77777777" w:rsidR="00E568A1" w:rsidRPr="00E221F6" w:rsidRDefault="00E568A1" w:rsidP="00E221F6">
            <w:pPr>
              <w:autoSpaceDE w:val="0"/>
              <w:autoSpaceDN w:val="0"/>
              <w:adjustRightInd w:val="0"/>
              <w:spacing w:after="0" w:line="240" w:lineRule="auto"/>
              <w:rPr>
                <w:rFonts w:ascii="Arial" w:hAnsi="Arial" w:cs="Arial"/>
                <w:color w:val="000000"/>
                <w:sz w:val="18"/>
                <w:szCs w:val="18"/>
                <w:lang w:val="en-US"/>
              </w:rPr>
            </w:pPr>
            <w:r w:rsidRPr="00E221F6">
              <w:rPr>
                <w:rFonts w:ascii="Arial" w:hAnsi="Arial" w:cs="Arial"/>
                <w:color w:val="000000"/>
                <w:sz w:val="18"/>
                <w:szCs w:val="18"/>
                <w:lang w:val="en-US"/>
              </w:rPr>
              <w:t>(Amx / Clv); тіоацетазон (Thz); іміпенем / циластатин (Ipm /</w:t>
            </w:r>
          </w:p>
          <w:p w14:paraId="210EA119" w14:textId="77777777" w:rsidR="00E568A1" w:rsidRPr="00E221F6" w:rsidRDefault="00E568A1" w:rsidP="00E221F6">
            <w:pPr>
              <w:autoSpaceDE w:val="0"/>
              <w:autoSpaceDN w:val="0"/>
              <w:adjustRightInd w:val="0"/>
              <w:spacing w:after="0" w:line="240" w:lineRule="auto"/>
              <w:rPr>
                <w:rFonts w:ascii="Arial" w:hAnsi="Arial" w:cs="Arial"/>
                <w:color w:val="000000"/>
                <w:sz w:val="18"/>
                <w:szCs w:val="18"/>
                <w:lang w:val="en-US"/>
              </w:rPr>
            </w:pPr>
            <w:r w:rsidRPr="00E221F6">
              <w:rPr>
                <w:rFonts w:ascii="Arial" w:hAnsi="Arial" w:cs="Arial"/>
                <w:color w:val="000000"/>
                <w:sz w:val="18"/>
                <w:szCs w:val="18"/>
                <w:lang w:val="en-US"/>
              </w:rPr>
              <w:t>Cln); висока доза ізоніазиду (висока доза H),</w:t>
            </w:r>
            <w:r w:rsidRPr="00E221F6">
              <w:rPr>
                <w:rFonts w:ascii="Arial" w:hAnsi="Arial" w:cs="Arial"/>
                <w:color w:val="000000"/>
                <w:sz w:val="10"/>
                <w:szCs w:val="10"/>
                <w:lang w:val="en-US"/>
              </w:rPr>
              <w:t xml:space="preserve">b </w:t>
            </w:r>
            <w:r w:rsidRPr="00E221F6">
              <w:rPr>
                <w:rFonts w:ascii="Arial" w:hAnsi="Arial" w:cs="Arial"/>
                <w:color w:val="000000"/>
                <w:sz w:val="10"/>
                <w:szCs w:val="10"/>
                <w:lang w:val="uk-UA"/>
              </w:rPr>
              <w:t xml:space="preserve"> </w:t>
            </w:r>
            <w:r w:rsidRPr="00E221F6">
              <w:rPr>
                <w:rFonts w:ascii="Arial" w:hAnsi="Arial" w:cs="Arial"/>
                <w:color w:val="000000"/>
                <w:sz w:val="18"/>
                <w:szCs w:val="18"/>
                <w:lang w:val="en-US"/>
              </w:rPr>
              <w:t>кларитроміцин (Clr)</w:t>
            </w:r>
          </w:p>
        </w:tc>
      </w:tr>
    </w:tbl>
    <w:p w14:paraId="44D66ACA" w14:textId="77777777" w:rsidR="00E568A1" w:rsidRPr="00451CFD" w:rsidRDefault="00E568A1" w:rsidP="0037724F">
      <w:pPr>
        <w:autoSpaceDE w:val="0"/>
        <w:autoSpaceDN w:val="0"/>
        <w:adjustRightInd w:val="0"/>
        <w:spacing w:after="0" w:line="240" w:lineRule="auto"/>
        <w:jc w:val="both"/>
        <w:rPr>
          <w:rFonts w:ascii="Arial" w:hAnsi="Arial" w:cs="Arial"/>
          <w:color w:val="000000"/>
          <w:sz w:val="18"/>
          <w:szCs w:val="18"/>
          <w:lang w:val="en-US"/>
        </w:rPr>
      </w:pPr>
    </w:p>
    <w:p w14:paraId="70CB9D79" w14:textId="5619F091" w:rsidR="00E568A1" w:rsidRDefault="00E446E4" w:rsidP="0037724F">
      <w:pPr>
        <w:autoSpaceDE w:val="0"/>
        <w:autoSpaceDN w:val="0"/>
        <w:adjustRightInd w:val="0"/>
        <w:spacing w:after="0" w:line="240" w:lineRule="auto"/>
        <w:jc w:val="both"/>
        <w:rPr>
          <w:rFonts w:ascii="Arial" w:hAnsi="Arial" w:cs="Arial"/>
          <w:color w:val="000000"/>
          <w:sz w:val="20"/>
          <w:szCs w:val="20"/>
        </w:rPr>
      </w:pPr>
      <w:r w:rsidRPr="00E446E4">
        <w:rPr>
          <w:rFonts w:ascii="Arial" w:hAnsi="Arial" w:cs="Arial"/>
          <w:color w:val="000000"/>
          <w:sz w:val="20"/>
          <w:szCs w:val="20"/>
          <w:vertAlign w:val="superscript"/>
          <w:lang w:val="uk-UA"/>
        </w:rPr>
        <w:t>а</w:t>
      </w:r>
      <w:r>
        <w:rPr>
          <w:rFonts w:ascii="Arial" w:hAnsi="Arial" w:cs="Arial"/>
          <w:color w:val="000000"/>
          <w:sz w:val="20"/>
          <w:szCs w:val="20"/>
          <w:lang w:val="uk-UA"/>
        </w:rPr>
        <w:t xml:space="preserve"> Р</w:t>
      </w:r>
      <w:r w:rsidR="00E568A1" w:rsidRPr="00C80A9C">
        <w:rPr>
          <w:rFonts w:ascii="Arial" w:hAnsi="Arial" w:cs="Arial"/>
          <w:color w:val="000000"/>
          <w:sz w:val="20"/>
          <w:szCs w:val="20"/>
        </w:rPr>
        <w:t>ифабутин не входить до Переліку основних лікарс</w:t>
      </w:r>
      <w:r w:rsidR="005B1525">
        <w:rPr>
          <w:rFonts w:ascii="Arial" w:hAnsi="Arial" w:cs="Arial"/>
          <w:color w:val="000000"/>
          <w:sz w:val="20"/>
          <w:szCs w:val="20"/>
        </w:rPr>
        <w:t>ьких засобів ВООЗ. Він вказаний в цій таблиці</w:t>
      </w:r>
      <w:r w:rsidR="00E568A1" w:rsidRPr="00C80A9C">
        <w:rPr>
          <w:rFonts w:ascii="Arial" w:hAnsi="Arial" w:cs="Arial"/>
          <w:color w:val="000000"/>
          <w:sz w:val="20"/>
          <w:szCs w:val="20"/>
        </w:rPr>
        <w:t>, оскільки його широко зас</w:t>
      </w:r>
      <w:r w:rsidR="005B1525">
        <w:rPr>
          <w:rFonts w:ascii="Arial" w:hAnsi="Arial" w:cs="Arial"/>
          <w:color w:val="000000"/>
          <w:sz w:val="20"/>
          <w:szCs w:val="20"/>
        </w:rPr>
        <w:t>тосовують в багатьох регіонах</w:t>
      </w:r>
      <w:r w:rsidR="00E568A1" w:rsidRPr="00C80A9C">
        <w:rPr>
          <w:rFonts w:ascii="Arial" w:hAnsi="Arial" w:cs="Arial"/>
          <w:color w:val="000000"/>
          <w:sz w:val="20"/>
          <w:szCs w:val="20"/>
        </w:rPr>
        <w:t>, серед пацієнтів, я</w:t>
      </w:r>
      <w:r w:rsidR="00B51AD6">
        <w:rPr>
          <w:rFonts w:ascii="Arial" w:hAnsi="Arial" w:cs="Arial"/>
          <w:color w:val="000000"/>
          <w:sz w:val="20"/>
          <w:szCs w:val="20"/>
        </w:rPr>
        <w:t>кі приймають інгібітори протеаз</w:t>
      </w:r>
      <w:r w:rsidR="00E568A1" w:rsidRPr="00C80A9C">
        <w:rPr>
          <w:rFonts w:ascii="Arial" w:hAnsi="Arial" w:cs="Arial"/>
          <w:color w:val="000000"/>
          <w:sz w:val="20"/>
          <w:szCs w:val="20"/>
        </w:rPr>
        <w:t>.</w:t>
      </w:r>
    </w:p>
    <w:p w14:paraId="4E651FD8" w14:textId="77777777" w:rsidR="00E568A1" w:rsidRPr="00E446E4" w:rsidRDefault="00E568A1" w:rsidP="0037724F">
      <w:pPr>
        <w:autoSpaceDE w:val="0"/>
        <w:autoSpaceDN w:val="0"/>
        <w:adjustRightInd w:val="0"/>
        <w:spacing w:after="0" w:line="240" w:lineRule="auto"/>
        <w:jc w:val="both"/>
        <w:rPr>
          <w:rFonts w:ascii="Arial" w:hAnsi="Arial" w:cs="Arial"/>
          <w:color w:val="000000"/>
          <w:sz w:val="16"/>
          <w:szCs w:val="16"/>
        </w:rPr>
      </w:pPr>
    </w:p>
    <w:p w14:paraId="18838919" w14:textId="12BDCF6E" w:rsidR="00E568A1" w:rsidRPr="00C80A9C" w:rsidRDefault="00E446E4" w:rsidP="0037724F">
      <w:pPr>
        <w:autoSpaceDE w:val="0"/>
        <w:autoSpaceDN w:val="0"/>
        <w:adjustRightInd w:val="0"/>
        <w:spacing w:after="0" w:line="240" w:lineRule="auto"/>
        <w:jc w:val="both"/>
        <w:rPr>
          <w:rFonts w:ascii="Arial" w:hAnsi="Arial" w:cs="Arial"/>
          <w:color w:val="000000"/>
          <w:sz w:val="20"/>
          <w:szCs w:val="20"/>
        </w:rPr>
      </w:pPr>
      <w:r w:rsidRPr="00E446E4">
        <w:rPr>
          <w:rFonts w:ascii="Arial" w:hAnsi="Arial" w:cs="Arial"/>
          <w:color w:val="000000"/>
          <w:sz w:val="20"/>
          <w:szCs w:val="20"/>
          <w:vertAlign w:val="superscript"/>
          <w:lang w:val="en-US"/>
        </w:rPr>
        <w:t>b</w:t>
      </w:r>
      <w:r w:rsidRPr="00E446E4">
        <w:rPr>
          <w:rFonts w:ascii="Arial" w:hAnsi="Arial" w:cs="Arial"/>
          <w:color w:val="000000"/>
          <w:sz w:val="20"/>
          <w:szCs w:val="20"/>
        </w:rPr>
        <w:t xml:space="preserve"> </w:t>
      </w:r>
      <w:r>
        <w:rPr>
          <w:rFonts w:ascii="Arial" w:hAnsi="Arial" w:cs="Arial"/>
          <w:color w:val="000000"/>
          <w:sz w:val="20"/>
          <w:szCs w:val="20"/>
          <w:lang w:val="uk-UA"/>
        </w:rPr>
        <w:t>В</w:t>
      </w:r>
      <w:r w:rsidR="00E568A1" w:rsidRPr="00C80A9C">
        <w:rPr>
          <w:rFonts w:ascii="Arial" w:hAnsi="Arial" w:cs="Arial"/>
          <w:color w:val="000000"/>
          <w:sz w:val="20"/>
          <w:szCs w:val="20"/>
        </w:rPr>
        <w:t>исока доза ‘</w:t>
      </w:r>
      <w:r w:rsidR="00E568A1" w:rsidRPr="00C80A9C">
        <w:rPr>
          <w:rFonts w:ascii="Arial" w:hAnsi="Arial" w:cs="Arial"/>
          <w:color w:val="000000"/>
          <w:sz w:val="20"/>
          <w:szCs w:val="20"/>
          <w:lang w:val="en-US"/>
        </w:rPr>
        <w:t>H</w:t>
      </w:r>
      <w:r w:rsidR="0085317E">
        <w:rPr>
          <w:rFonts w:ascii="Arial" w:hAnsi="Arial" w:cs="Arial"/>
          <w:color w:val="000000"/>
          <w:sz w:val="20"/>
          <w:szCs w:val="20"/>
        </w:rPr>
        <w:t xml:space="preserve">’ </w:t>
      </w:r>
      <w:r w:rsidR="00B51AD6">
        <w:rPr>
          <w:rFonts w:ascii="Arial" w:hAnsi="Arial" w:cs="Arial"/>
          <w:color w:val="000000"/>
          <w:sz w:val="20"/>
          <w:szCs w:val="20"/>
        </w:rPr>
        <w:t>визначається як 16-20 мг/кг/</w:t>
      </w:r>
      <w:r w:rsidR="00E568A1" w:rsidRPr="00C80A9C">
        <w:rPr>
          <w:rFonts w:ascii="Arial" w:hAnsi="Arial" w:cs="Arial"/>
          <w:color w:val="000000"/>
          <w:sz w:val="20"/>
          <w:szCs w:val="20"/>
        </w:rPr>
        <w:t>день.</w:t>
      </w:r>
    </w:p>
    <w:p w14:paraId="092F3F94" w14:textId="77777777" w:rsidR="00E568A1" w:rsidRPr="00E446E4" w:rsidRDefault="00E568A1" w:rsidP="0037724F">
      <w:pPr>
        <w:autoSpaceDE w:val="0"/>
        <w:autoSpaceDN w:val="0"/>
        <w:adjustRightInd w:val="0"/>
        <w:spacing w:after="0" w:line="240" w:lineRule="auto"/>
        <w:jc w:val="both"/>
        <w:rPr>
          <w:rFonts w:ascii="Arial" w:hAnsi="Arial" w:cs="Arial"/>
          <w:color w:val="000000"/>
          <w:sz w:val="20"/>
          <w:szCs w:val="20"/>
        </w:rPr>
      </w:pPr>
    </w:p>
    <w:p w14:paraId="74A6CCC8" w14:textId="747FAB80" w:rsidR="00E568A1" w:rsidRDefault="00E568A1" w:rsidP="0037724F">
      <w:pPr>
        <w:autoSpaceDE w:val="0"/>
        <w:autoSpaceDN w:val="0"/>
        <w:adjustRightInd w:val="0"/>
        <w:spacing w:after="0" w:line="240" w:lineRule="auto"/>
        <w:jc w:val="both"/>
        <w:rPr>
          <w:rFonts w:ascii="Arial" w:hAnsi="Arial" w:cs="Arial"/>
          <w:color w:val="000000"/>
          <w:lang w:val="uk-UA"/>
        </w:rPr>
      </w:pPr>
      <w:r w:rsidRPr="00C52375">
        <w:rPr>
          <w:rFonts w:ascii="Arial" w:hAnsi="Arial" w:cs="Arial"/>
          <w:color w:val="000000"/>
        </w:rPr>
        <w:t xml:space="preserve">Було наголошено на необхідності дотримуватися обережності щодо призначення бедаквіліну, а також на важливості чіткої та зрозумілої комунікації з пацієнтами до </w:t>
      </w:r>
      <w:r w:rsidR="00E446E4">
        <w:rPr>
          <w:rFonts w:ascii="Arial" w:hAnsi="Arial" w:cs="Arial"/>
          <w:color w:val="000000"/>
          <w:lang w:val="uk-UA"/>
        </w:rPr>
        <w:t xml:space="preserve">моменту </w:t>
      </w:r>
      <w:r w:rsidR="00E446E4">
        <w:rPr>
          <w:rFonts w:ascii="Arial" w:hAnsi="Arial" w:cs="Arial"/>
          <w:color w:val="000000"/>
        </w:rPr>
        <w:t xml:space="preserve">призначення </w:t>
      </w:r>
      <w:r w:rsidRPr="00C52375">
        <w:rPr>
          <w:rFonts w:ascii="Arial" w:hAnsi="Arial" w:cs="Arial"/>
          <w:color w:val="000000"/>
        </w:rPr>
        <w:t>препаратів. Була заз</w:t>
      </w:r>
      <w:r w:rsidR="00E446E4">
        <w:rPr>
          <w:rFonts w:ascii="Arial" w:hAnsi="Arial" w:cs="Arial"/>
          <w:color w:val="000000"/>
        </w:rPr>
        <w:t>начена необхідність дотримання цієї</w:t>
      </w:r>
      <w:r w:rsidR="00E446E4">
        <w:rPr>
          <w:rFonts w:ascii="Arial" w:hAnsi="Arial" w:cs="Arial"/>
          <w:color w:val="000000"/>
          <w:lang w:val="uk-UA"/>
        </w:rPr>
        <w:t xml:space="preserve"> </w:t>
      </w:r>
      <w:r w:rsidR="00E446E4">
        <w:rPr>
          <w:rFonts w:ascii="Arial" w:hAnsi="Arial" w:cs="Arial"/>
          <w:color w:val="000000"/>
        </w:rPr>
        <w:t>умови</w:t>
      </w:r>
      <w:r w:rsidRPr="00C52375">
        <w:rPr>
          <w:rFonts w:ascii="Arial" w:hAnsi="Arial" w:cs="Arial"/>
          <w:color w:val="000000"/>
        </w:rPr>
        <w:t xml:space="preserve"> шля</w:t>
      </w:r>
      <w:r>
        <w:rPr>
          <w:rFonts w:ascii="Arial" w:hAnsi="Arial" w:cs="Arial"/>
          <w:color w:val="000000"/>
        </w:rPr>
        <w:t xml:space="preserve">хом </w:t>
      </w:r>
      <w:r w:rsidR="00846669">
        <w:rPr>
          <w:rFonts w:ascii="Arial" w:hAnsi="Arial" w:cs="Arial"/>
          <w:color w:val="000000"/>
        </w:rPr>
        <w:t xml:space="preserve">отримання </w:t>
      </w:r>
      <w:r>
        <w:rPr>
          <w:rFonts w:ascii="Arial" w:hAnsi="Arial" w:cs="Arial"/>
          <w:color w:val="000000"/>
        </w:rPr>
        <w:t>інформованої згоди пацієнта</w:t>
      </w:r>
      <w:r w:rsidR="003A2BAF">
        <w:rPr>
          <w:rFonts w:ascii="Arial" w:hAnsi="Arial" w:cs="Arial"/>
          <w:color w:val="000000"/>
        </w:rPr>
        <w:t>, бажано</w:t>
      </w:r>
      <w:r w:rsidRPr="00C52375">
        <w:rPr>
          <w:rFonts w:ascii="Arial" w:hAnsi="Arial" w:cs="Arial"/>
          <w:color w:val="000000"/>
        </w:rPr>
        <w:t xml:space="preserve"> -  у письмовій формі.</w:t>
      </w:r>
    </w:p>
    <w:p w14:paraId="3E0B0174" w14:textId="77777777" w:rsidR="00E568A1" w:rsidRPr="00E446E4" w:rsidRDefault="00E568A1" w:rsidP="0037724F">
      <w:pPr>
        <w:autoSpaceDE w:val="0"/>
        <w:autoSpaceDN w:val="0"/>
        <w:adjustRightInd w:val="0"/>
        <w:spacing w:after="0" w:line="240" w:lineRule="auto"/>
        <w:jc w:val="both"/>
        <w:rPr>
          <w:rFonts w:ascii="Arial" w:hAnsi="Arial" w:cs="Arial"/>
          <w:color w:val="000000"/>
          <w:sz w:val="20"/>
          <w:szCs w:val="20"/>
          <w:lang w:val="uk-UA"/>
        </w:rPr>
      </w:pPr>
    </w:p>
    <w:p w14:paraId="47438F17" w14:textId="2D7597BA" w:rsidR="00E568A1" w:rsidRDefault="00E568A1" w:rsidP="0037724F">
      <w:pPr>
        <w:autoSpaceDE w:val="0"/>
        <w:autoSpaceDN w:val="0"/>
        <w:adjustRightInd w:val="0"/>
        <w:spacing w:after="0" w:line="240" w:lineRule="auto"/>
        <w:jc w:val="both"/>
        <w:rPr>
          <w:rFonts w:ascii="Arial" w:hAnsi="Arial" w:cs="Arial"/>
          <w:color w:val="000000"/>
        </w:rPr>
      </w:pPr>
      <w:r w:rsidRPr="00893077">
        <w:rPr>
          <w:rFonts w:ascii="Arial" w:hAnsi="Arial" w:cs="Arial"/>
          <w:color w:val="000000"/>
        </w:rPr>
        <w:t>ЕГ не змогла досягти консенсу</w:t>
      </w:r>
      <w:r w:rsidR="00E446E4">
        <w:rPr>
          <w:rFonts w:ascii="Arial" w:hAnsi="Arial" w:cs="Arial"/>
          <w:color w:val="000000"/>
        </w:rPr>
        <w:t xml:space="preserve">су щодо загального балансу </w:t>
      </w:r>
      <w:r w:rsidR="00846669">
        <w:rPr>
          <w:rFonts w:ascii="Arial" w:hAnsi="Arial" w:cs="Arial"/>
          <w:color w:val="000000"/>
        </w:rPr>
        <w:t>користі та шкоди та перейшл</w:t>
      </w:r>
      <w:r w:rsidRPr="00893077">
        <w:rPr>
          <w:rFonts w:ascii="Arial" w:hAnsi="Arial" w:cs="Arial"/>
          <w:color w:val="000000"/>
        </w:rPr>
        <w:t xml:space="preserve">а </w:t>
      </w:r>
      <w:r w:rsidR="00846669">
        <w:rPr>
          <w:rFonts w:ascii="Arial" w:hAnsi="Arial" w:cs="Arial"/>
          <w:color w:val="000000"/>
        </w:rPr>
        <w:t xml:space="preserve"> до </w:t>
      </w:r>
      <w:r w:rsidRPr="00893077">
        <w:rPr>
          <w:rFonts w:ascii="Arial" w:hAnsi="Arial" w:cs="Arial"/>
          <w:color w:val="000000"/>
        </w:rPr>
        <w:t xml:space="preserve">голосування (за винятком спостерігачів та консультантів із технічних ресурсів). Результати були наступними: 10 - </w:t>
      </w:r>
      <w:r w:rsidR="00846669">
        <w:rPr>
          <w:rFonts w:ascii="Arial" w:hAnsi="Arial" w:cs="Arial"/>
          <w:color w:val="000000"/>
        </w:rPr>
        <w:t>проголосували за те, що користь</w:t>
      </w:r>
      <w:r w:rsidRPr="00893077">
        <w:rPr>
          <w:rFonts w:ascii="Arial" w:hAnsi="Arial" w:cs="Arial"/>
          <w:color w:val="000000"/>
        </w:rPr>
        <w:t xml:space="preserve"> прева</w:t>
      </w:r>
      <w:r w:rsidR="00846669">
        <w:rPr>
          <w:rFonts w:ascii="Arial" w:hAnsi="Arial" w:cs="Arial"/>
          <w:color w:val="000000"/>
        </w:rPr>
        <w:t>лює над шкодою</w:t>
      </w:r>
      <w:r w:rsidRPr="00893077">
        <w:rPr>
          <w:rFonts w:ascii="Arial" w:hAnsi="Arial" w:cs="Arial"/>
          <w:color w:val="000000"/>
        </w:rPr>
        <w:t xml:space="preserve">; 4 - </w:t>
      </w:r>
      <w:r w:rsidR="00846669">
        <w:rPr>
          <w:rFonts w:ascii="Arial" w:hAnsi="Arial" w:cs="Arial"/>
          <w:color w:val="000000"/>
        </w:rPr>
        <w:t>проголосували</w:t>
      </w:r>
      <w:r w:rsidRPr="00893077">
        <w:rPr>
          <w:rFonts w:ascii="Arial" w:hAnsi="Arial" w:cs="Arial"/>
          <w:color w:val="000000"/>
        </w:rPr>
        <w:t xml:space="preserve"> за те, що </w:t>
      </w:r>
      <w:r w:rsidR="00846669">
        <w:rPr>
          <w:rFonts w:ascii="Arial" w:hAnsi="Arial" w:cs="Arial"/>
          <w:color w:val="000000"/>
        </w:rPr>
        <w:t>шкода превалює над користю</w:t>
      </w:r>
      <w:r w:rsidRPr="00893077">
        <w:rPr>
          <w:rFonts w:ascii="Arial" w:hAnsi="Arial" w:cs="Arial"/>
          <w:color w:val="000000"/>
        </w:rPr>
        <w:t>; і 2 - утрималися (включаючи Голову групи).</w:t>
      </w:r>
    </w:p>
    <w:p w14:paraId="134A8F8B" w14:textId="77777777" w:rsidR="00846669" w:rsidRDefault="00846669" w:rsidP="0037724F">
      <w:pPr>
        <w:autoSpaceDE w:val="0"/>
        <w:autoSpaceDN w:val="0"/>
        <w:adjustRightInd w:val="0"/>
        <w:spacing w:after="0" w:line="240" w:lineRule="auto"/>
        <w:jc w:val="both"/>
        <w:rPr>
          <w:rFonts w:ascii="Arial" w:hAnsi="Arial" w:cs="Arial"/>
          <w:color w:val="000000"/>
          <w:lang w:val="uk-UA"/>
        </w:rPr>
      </w:pPr>
    </w:p>
    <w:p w14:paraId="318AF5BD" w14:textId="077CE3E9" w:rsidR="00E568A1" w:rsidRPr="00C33F8E" w:rsidRDefault="003A2BAF"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ЕГ розуміла</w:t>
      </w:r>
      <w:r w:rsidR="00E568A1" w:rsidRPr="009A5C31">
        <w:rPr>
          <w:rFonts w:ascii="Arial" w:hAnsi="Arial" w:cs="Arial"/>
          <w:color w:val="000000"/>
          <w:lang w:val="uk-UA"/>
        </w:rPr>
        <w:t>, що існує потенці</w:t>
      </w:r>
      <w:r w:rsidR="00332B09">
        <w:rPr>
          <w:rFonts w:ascii="Arial" w:hAnsi="Arial" w:cs="Arial"/>
          <w:color w:val="000000"/>
          <w:lang w:val="uk-UA"/>
        </w:rPr>
        <w:t>йно велика різниця між життєвими цінностями та уподобаннями</w:t>
      </w:r>
      <w:r w:rsidR="00E568A1" w:rsidRPr="009A5C31">
        <w:rPr>
          <w:rFonts w:ascii="Arial" w:hAnsi="Arial" w:cs="Arial"/>
          <w:color w:val="000000"/>
          <w:lang w:val="uk-UA"/>
        </w:rPr>
        <w:t xml:space="preserve"> </w:t>
      </w:r>
      <w:r w:rsidR="00332B09">
        <w:rPr>
          <w:rFonts w:ascii="Arial" w:hAnsi="Arial" w:cs="Arial"/>
          <w:color w:val="000000"/>
          <w:lang w:val="uk-UA"/>
        </w:rPr>
        <w:t>пацієнтів у кожному окремому випадку</w:t>
      </w:r>
      <w:r w:rsidR="00E568A1" w:rsidRPr="009A5C31">
        <w:rPr>
          <w:rFonts w:ascii="Arial" w:hAnsi="Arial" w:cs="Arial"/>
          <w:color w:val="000000"/>
          <w:lang w:val="uk-UA"/>
        </w:rPr>
        <w:t xml:space="preserve">. Більшість членів </w:t>
      </w:r>
      <w:r w:rsidR="00332B09">
        <w:rPr>
          <w:rFonts w:ascii="Arial" w:hAnsi="Arial" w:cs="Arial"/>
          <w:color w:val="000000"/>
          <w:lang w:val="uk-UA"/>
        </w:rPr>
        <w:t xml:space="preserve">групи </w:t>
      </w:r>
      <w:r w:rsidR="00E568A1" w:rsidRPr="009A5C31">
        <w:rPr>
          <w:rFonts w:ascii="Arial" w:hAnsi="Arial" w:cs="Arial"/>
          <w:color w:val="000000"/>
          <w:lang w:val="uk-UA"/>
        </w:rPr>
        <w:t>вважали, що пац</w:t>
      </w:r>
      <w:r w:rsidR="00332B09">
        <w:rPr>
          <w:rFonts w:ascii="Arial" w:hAnsi="Arial" w:cs="Arial"/>
          <w:color w:val="000000"/>
          <w:lang w:val="uk-UA"/>
        </w:rPr>
        <w:t xml:space="preserve">ієнти надаватимуть велике значення </w:t>
      </w:r>
      <w:r w:rsidR="00E568A1" w:rsidRPr="009A5C31">
        <w:rPr>
          <w:rFonts w:ascii="Arial" w:hAnsi="Arial" w:cs="Arial"/>
          <w:color w:val="000000"/>
          <w:lang w:val="uk-UA"/>
        </w:rPr>
        <w:t>питанню в</w:t>
      </w:r>
      <w:r w:rsidR="00332B09">
        <w:rPr>
          <w:rFonts w:ascii="Arial" w:hAnsi="Arial" w:cs="Arial"/>
          <w:color w:val="000000"/>
          <w:lang w:val="uk-UA"/>
        </w:rPr>
        <w:t xml:space="preserve">иживання, але було менш зрозумілим, чи пацієнти будуть вважати таким же важливим </w:t>
      </w:r>
      <w:r w:rsidR="00E568A1" w:rsidRPr="009A5C31">
        <w:rPr>
          <w:rFonts w:ascii="Arial" w:hAnsi="Arial" w:cs="Arial"/>
          <w:color w:val="000000"/>
          <w:lang w:val="uk-UA"/>
        </w:rPr>
        <w:t>мікробіологічну конверсію культури.</w:t>
      </w:r>
      <w:r w:rsidR="00E568A1">
        <w:rPr>
          <w:rFonts w:ascii="Arial" w:hAnsi="Arial" w:cs="Arial"/>
          <w:color w:val="000000"/>
          <w:lang w:val="uk-UA"/>
        </w:rPr>
        <w:t xml:space="preserve"> </w:t>
      </w:r>
      <w:r w:rsidR="00E568A1" w:rsidRPr="00C040BA">
        <w:rPr>
          <w:rFonts w:ascii="Arial" w:hAnsi="Arial" w:cs="Arial"/>
          <w:color w:val="000000"/>
          <w:lang w:val="uk-UA"/>
        </w:rPr>
        <w:t xml:space="preserve">Члени ЕГ висловили думку про те, що прийом пацієнтом бедаквіліну буде залежати від тяжкості їх захворювання та </w:t>
      </w:r>
      <w:r w:rsidR="00985A67">
        <w:rPr>
          <w:rFonts w:ascii="Arial" w:hAnsi="Arial" w:cs="Arial"/>
          <w:color w:val="000000"/>
          <w:lang w:val="uk-UA"/>
        </w:rPr>
        <w:t>ймовірності розробки ефективного</w:t>
      </w:r>
      <w:r w:rsidR="00E568A1" w:rsidRPr="00C040BA">
        <w:rPr>
          <w:rFonts w:ascii="Arial" w:hAnsi="Arial" w:cs="Arial"/>
          <w:color w:val="000000"/>
          <w:lang w:val="uk-UA"/>
        </w:rPr>
        <w:t xml:space="preserve"> фонового режиму терапії - наприклад, групи пацієнтів з </w:t>
      </w:r>
      <w:r w:rsidR="003229B4">
        <w:rPr>
          <w:rFonts w:ascii="Arial" w:hAnsi="Arial" w:cs="Arial"/>
          <w:color w:val="000000"/>
          <w:lang w:val="uk-UA"/>
        </w:rPr>
        <w:t>РР ТБ</w:t>
      </w:r>
      <w:r w:rsidR="003C66D9">
        <w:rPr>
          <w:rFonts w:ascii="Arial" w:hAnsi="Arial" w:cs="Arial"/>
          <w:color w:val="000000"/>
          <w:lang w:val="uk-UA"/>
        </w:rPr>
        <w:t xml:space="preserve"> скоріш </w:t>
      </w:r>
      <w:r w:rsidR="00E568A1" w:rsidRPr="00C040BA">
        <w:rPr>
          <w:rFonts w:ascii="Arial" w:hAnsi="Arial" w:cs="Arial"/>
          <w:color w:val="000000"/>
          <w:lang w:val="uk-UA"/>
        </w:rPr>
        <w:t>ризик</w:t>
      </w:r>
      <w:r w:rsidR="00C33F8E">
        <w:rPr>
          <w:rFonts w:ascii="Arial" w:hAnsi="Arial" w:cs="Arial"/>
          <w:color w:val="000000"/>
          <w:lang w:val="uk-UA"/>
        </w:rPr>
        <w:t>нуть погодитися на прийом</w:t>
      </w:r>
      <w:r w:rsidR="00E568A1" w:rsidRPr="00C040BA">
        <w:rPr>
          <w:rFonts w:ascii="Arial" w:hAnsi="Arial" w:cs="Arial"/>
          <w:color w:val="000000"/>
          <w:lang w:val="uk-UA"/>
        </w:rPr>
        <w:t xml:space="preserve"> нового препарат</w:t>
      </w:r>
      <w:r>
        <w:rPr>
          <w:rFonts w:ascii="Arial" w:hAnsi="Arial" w:cs="Arial"/>
          <w:color w:val="000000"/>
          <w:lang w:val="uk-UA"/>
        </w:rPr>
        <w:t xml:space="preserve">у навіть з </w:t>
      </w:r>
      <w:r w:rsidR="00C33F8E">
        <w:rPr>
          <w:rFonts w:ascii="Arial" w:hAnsi="Arial" w:cs="Arial"/>
          <w:color w:val="000000"/>
          <w:lang w:val="uk-UA"/>
        </w:rPr>
        <w:t>очевидною можливістю смертельного результату</w:t>
      </w:r>
      <w:r w:rsidR="00E568A1" w:rsidRPr="00C040BA">
        <w:rPr>
          <w:rFonts w:ascii="Arial" w:hAnsi="Arial" w:cs="Arial"/>
          <w:color w:val="000000"/>
          <w:lang w:val="uk-UA"/>
        </w:rPr>
        <w:t xml:space="preserve">, ніж </w:t>
      </w:r>
      <w:r w:rsidR="00E568A1" w:rsidRPr="00C33F8E">
        <w:rPr>
          <w:rFonts w:ascii="Arial" w:hAnsi="Arial" w:cs="Arial"/>
          <w:color w:val="000000"/>
          <w:lang w:val="uk-UA"/>
        </w:rPr>
        <w:t xml:space="preserve">пацієнти з неускладненим </w:t>
      </w:r>
      <w:r w:rsidR="009B51D9" w:rsidRPr="00C33F8E">
        <w:rPr>
          <w:rFonts w:ascii="Arial" w:hAnsi="Arial" w:cs="Arial"/>
          <w:color w:val="000000"/>
          <w:lang w:val="uk-UA"/>
        </w:rPr>
        <w:t>МР ТБ</w:t>
      </w:r>
      <w:r w:rsidR="00E568A1" w:rsidRPr="00C33F8E">
        <w:rPr>
          <w:rFonts w:ascii="Arial" w:hAnsi="Arial" w:cs="Arial"/>
          <w:color w:val="000000"/>
          <w:lang w:val="uk-UA"/>
        </w:rPr>
        <w:t xml:space="preserve"> без додаткової </w:t>
      </w:r>
      <w:r w:rsidR="00C33F8E" w:rsidRPr="00C33F8E">
        <w:rPr>
          <w:rFonts w:ascii="Arial" w:hAnsi="Arial" w:cs="Arial"/>
          <w:color w:val="000000"/>
        </w:rPr>
        <w:t>лікарської стійкості</w:t>
      </w:r>
      <w:r w:rsidR="00E568A1" w:rsidRPr="00C33F8E">
        <w:rPr>
          <w:rFonts w:ascii="Arial" w:hAnsi="Arial" w:cs="Arial"/>
          <w:color w:val="000000"/>
          <w:lang w:val="uk-UA"/>
        </w:rPr>
        <w:t>.</w:t>
      </w:r>
    </w:p>
    <w:p w14:paraId="3B0223E9" w14:textId="77777777" w:rsidR="00E568A1" w:rsidRPr="00C33F8E" w:rsidRDefault="00E568A1" w:rsidP="0037724F">
      <w:pPr>
        <w:autoSpaceDE w:val="0"/>
        <w:autoSpaceDN w:val="0"/>
        <w:adjustRightInd w:val="0"/>
        <w:spacing w:after="0" w:line="240" w:lineRule="auto"/>
        <w:jc w:val="both"/>
        <w:rPr>
          <w:rFonts w:ascii="Arial" w:hAnsi="Arial" w:cs="Arial"/>
          <w:color w:val="000000"/>
          <w:lang w:val="uk-UA"/>
        </w:rPr>
      </w:pPr>
    </w:p>
    <w:p w14:paraId="5C2869B9" w14:textId="156B3827" w:rsidR="00E568A1" w:rsidRPr="007E5A9A" w:rsidRDefault="00E568A1" w:rsidP="0037724F">
      <w:pPr>
        <w:autoSpaceDE w:val="0"/>
        <w:autoSpaceDN w:val="0"/>
        <w:adjustRightInd w:val="0"/>
        <w:spacing w:after="0" w:line="240" w:lineRule="auto"/>
        <w:jc w:val="both"/>
        <w:rPr>
          <w:rFonts w:ascii="Arial" w:hAnsi="Arial" w:cs="Arial"/>
          <w:color w:val="000000"/>
          <w:lang w:val="uk-UA"/>
        </w:rPr>
      </w:pPr>
      <w:r w:rsidRPr="00973104">
        <w:rPr>
          <w:rFonts w:ascii="Arial" w:hAnsi="Arial" w:cs="Arial"/>
          <w:color w:val="000000"/>
          <w:lang w:val="uk-UA"/>
        </w:rPr>
        <w:t xml:space="preserve">ЕГ було складно досягти консенсусу щодо </w:t>
      </w:r>
      <w:r w:rsidR="00371565">
        <w:rPr>
          <w:rFonts w:ascii="Arial" w:hAnsi="Arial" w:cs="Arial"/>
          <w:color w:val="000000"/>
          <w:lang w:val="uk-UA"/>
        </w:rPr>
        <w:t>необхідних ресурсів</w:t>
      </w:r>
      <w:r w:rsidRPr="00973104">
        <w:rPr>
          <w:rFonts w:ascii="Arial" w:hAnsi="Arial" w:cs="Arial"/>
          <w:color w:val="000000"/>
          <w:lang w:val="uk-UA"/>
        </w:rPr>
        <w:t xml:space="preserve"> запропонованої рекомендації. Хоча моделювання економічної ефективності </w:t>
      </w:r>
      <w:r w:rsidR="00C33F8E">
        <w:rPr>
          <w:rFonts w:ascii="Arial" w:hAnsi="Arial" w:cs="Arial"/>
          <w:color w:val="000000"/>
          <w:lang w:val="uk-UA"/>
        </w:rPr>
        <w:t>продемонструвало загальну користь</w:t>
      </w:r>
      <w:r w:rsidR="00371565">
        <w:rPr>
          <w:rFonts w:ascii="Arial" w:hAnsi="Arial" w:cs="Arial"/>
          <w:color w:val="000000"/>
          <w:lang w:val="uk-UA"/>
        </w:rPr>
        <w:t xml:space="preserve"> бедаквіліну</w:t>
      </w:r>
      <w:r w:rsidRPr="00973104">
        <w:rPr>
          <w:rFonts w:ascii="Arial" w:hAnsi="Arial" w:cs="Arial"/>
          <w:color w:val="000000"/>
          <w:lang w:val="uk-UA"/>
        </w:rPr>
        <w:t xml:space="preserve">, </w:t>
      </w:r>
      <w:r w:rsidR="00985A67">
        <w:rPr>
          <w:rFonts w:ascii="Arial" w:hAnsi="Arial" w:cs="Arial"/>
          <w:color w:val="000000"/>
          <w:lang w:val="uk-UA"/>
        </w:rPr>
        <w:t xml:space="preserve">існували </w:t>
      </w:r>
      <w:r w:rsidRPr="00973104">
        <w:rPr>
          <w:rFonts w:ascii="Arial" w:hAnsi="Arial" w:cs="Arial"/>
          <w:color w:val="000000"/>
          <w:lang w:val="uk-UA"/>
        </w:rPr>
        <w:t xml:space="preserve">побоювання щодо </w:t>
      </w:r>
      <w:r w:rsidR="00985A67">
        <w:rPr>
          <w:rFonts w:ascii="Arial" w:hAnsi="Arial" w:cs="Arial"/>
          <w:color w:val="000000"/>
          <w:lang w:val="uk-UA"/>
        </w:rPr>
        <w:t xml:space="preserve">використаних </w:t>
      </w:r>
      <w:r w:rsidRPr="00973104">
        <w:rPr>
          <w:rFonts w:ascii="Arial" w:hAnsi="Arial" w:cs="Arial"/>
          <w:color w:val="000000"/>
          <w:lang w:val="uk-UA"/>
        </w:rPr>
        <w:t xml:space="preserve">спрощених припущень (наприклад, </w:t>
      </w:r>
      <w:r w:rsidR="00371565">
        <w:rPr>
          <w:rFonts w:ascii="Arial" w:hAnsi="Arial" w:cs="Arial"/>
          <w:color w:val="000000"/>
          <w:lang w:val="uk-UA"/>
        </w:rPr>
        <w:t>немає даних щодо різниці серйозних побічних реакцій</w:t>
      </w:r>
      <w:r w:rsidRPr="00973104">
        <w:rPr>
          <w:rFonts w:ascii="Arial" w:hAnsi="Arial" w:cs="Arial"/>
          <w:color w:val="000000"/>
          <w:lang w:val="uk-UA"/>
        </w:rPr>
        <w:t xml:space="preserve">, </w:t>
      </w:r>
      <w:r w:rsidR="00985A67">
        <w:rPr>
          <w:rFonts w:ascii="Arial" w:hAnsi="Arial" w:cs="Arial"/>
          <w:color w:val="000000"/>
          <w:lang w:val="uk-UA"/>
        </w:rPr>
        <w:t>вплив</w:t>
      </w:r>
      <w:r w:rsidR="00371565">
        <w:rPr>
          <w:rFonts w:ascii="Arial" w:hAnsi="Arial" w:cs="Arial"/>
          <w:color w:val="000000"/>
          <w:lang w:val="uk-UA"/>
        </w:rPr>
        <w:t>у</w:t>
      </w:r>
      <w:r w:rsidRPr="00973104">
        <w:rPr>
          <w:rFonts w:ascii="Arial" w:hAnsi="Arial" w:cs="Arial"/>
          <w:color w:val="000000"/>
          <w:lang w:val="uk-UA"/>
        </w:rPr>
        <w:t xml:space="preserve"> на передачу</w:t>
      </w:r>
      <w:r w:rsidR="003C5A97">
        <w:rPr>
          <w:rFonts w:ascii="Arial" w:hAnsi="Arial" w:cs="Arial"/>
          <w:color w:val="000000"/>
          <w:lang w:val="uk-UA"/>
        </w:rPr>
        <w:t xml:space="preserve"> захворювання</w:t>
      </w:r>
      <w:r w:rsidRPr="00973104">
        <w:rPr>
          <w:rFonts w:ascii="Arial" w:hAnsi="Arial" w:cs="Arial"/>
          <w:color w:val="000000"/>
          <w:lang w:val="uk-UA"/>
        </w:rPr>
        <w:t>, невизначеність щодо застос</w:t>
      </w:r>
      <w:r w:rsidR="003C5A97">
        <w:rPr>
          <w:rFonts w:ascii="Arial" w:hAnsi="Arial" w:cs="Arial"/>
          <w:color w:val="000000"/>
          <w:lang w:val="uk-UA"/>
        </w:rPr>
        <w:t xml:space="preserve">ування результатів випробувань - включаючи смертельні випадки </w:t>
      </w:r>
      <w:r w:rsidR="00371565">
        <w:rPr>
          <w:rFonts w:ascii="Arial" w:hAnsi="Arial" w:cs="Arial"/>
          <w:color w:val="000000"/>
          <w:lang w:val="uk-UA"/>
        </w:rPr>
        <w:t>–</w:t>
      </w:r>
      <w:r w:rsidR="003C5A97">
        <w:rPr>
          <w:rFonts w:ascii="Arial" w:hAnsi="Arial" w:cs="Arial"/>
          <w:color w:val="000000"/>
          <w:lang w:val="uk-UA"/>
        </w:rPr>
        <w:t xml:space="preserve"> </w:t>
      </w:r>
      <w:r w:rsidR="00371565">
        <w:rPr>
          <w:rFonts w:ascii="Arial" w:hAnsi="Arial" w:cs="Arial"/>
          <w:color w:val="000000"/>
          <w:lang w:val="uk-UA"/>
        </w:rPr>
        <w:t xml:space="preserve">до </w:t>
      </w:r>
      <w:r w:rsidR="003C5A97">
        <w:rPr>
          <w:rFonts w:ascii="Arial" w:hAnsi="Arial" w:cs="Arial"/>
          <w:color w:val="000000"/>
          <w:lang w:val="uk-UA"/>
        </w:rPr>
        <w:t>програм</w:t>
      </w:r>
      <w:r w:rsidR="00371565">
        <w:rPr>
          <w:rFonts w:ascii="Arial" w:hAnsi="Arial" w:cs="Arial"/>
          <w:color w:val="000000"/>
          <w:lang w:val="uk-UA"/>
        </w:rPr>
        <w:t>них умов</w:t>
      </w:r>
      <w:r w:rsidRPr="00973104">
        <w:rPr>
          <w:rFonts w:ascii="Arial" w:hAnsi="Arial" w:cs="Arial"/>
          <w:color w:val="000000"/>
          <w:lang w:val="uk-UA"/>
        </w:rPr>
        <w:t>, і т.д.).</w:t>
      </w:r>
      <w:r>
        <w:rPr>
          <w:rFonts w:ascii="Arial" w:hAnsi="Arial" w:cs="Arial"/>
          <w:color w:val="000000"/>
          <w:lang w:val="uk-UA"/>
        </w:rPr>
        <w:t xml:space="preserve"> </w:t>
      </w:r>
      <w:r w:rsidRPr="00973104">
        <w:rPr>
          <w:rFonts w:ascii="Arial" w:hAnsi="Arial" w:cs="Arial"/>
          <w:color w:val="000000"/>
          <w:lang w:val="uk-UA"/>
        </w:rPr>
        <w:t xml:space="preserve">ЕГ також вважає, що </w:t>
      </w:r>
      <w:r w:rsidR="007E174A">
        <w:rPr>
          <w:rFonts w:ascii="Arial" w:hAnsi="Arial" w:cs="Arial"/>
          <w:color w:val="000000"/>
          <w:lang w:val="uk-UA"/>
        </w:rPr>
        <w:t>оцінка економічної ефективності автоматично не означає доступність або готовність</w:t>
      </w:r>
      <w:r w:rsidRPr="00973104">
        <w:rPr>
          <w:rFonts w:ascii="Arial" w:hAnsi="Arial" w:cs="Arial"/>
          <w:color w:val="000000"/>
          <w:lang w:val="uk-UA"/>
        </w:rPr>
        <w:t xml:space="preserve"> країни </w:t>
      </w:r>
      <w:r w:rsidR="007E174A">
        <w:rPr>
          <w:rFonts w:ascii="Arial" w:hAnsi="Arial" w:cs="Arial"/>
          <w:color w:val="000000"/>
          <w:lang w:val="uk-UA"/>
        </w:rPr>
        <w:t>закупляти препарат</w:t>
      </w:r>
      <w:r w:rsidRPr="00973104">
        <w:rPr>
          <w:rFonts w:ascii="Arial" w:hAnsi="Arial" w:cs="Arial"/>
          <w:color w:val="000000"/>
          <w:lang w:val="uk-UA"/>
        </w:rPr>
        <w:t xml:space="preserve"> з урахуванням потенційно високої вартості бедаквіліну.</w:t>
      </w:r>
      <w:r>
        <w:rPr>
          <w:rFonts w:ascii="Arial" w:hAnsi="Arial" w:cs="Arial"/>
          <w:color w:val="000000"/>
          <w:lang w:val="uk-UA"/>
        </w:rPr>
        <w:t xml:space="preserve"> </w:t>
      </w:r>
      <w:r w:rsidRPr="007E5A9A">
        <w:rPr>
          <w:rFonts w:ascii="Arial" w:hAnsi="Arial" w:cs="Arial"/>
          <w:color w:val="000000"/>
          <w:lang w:val="uk-UA"/>
        </w:rPr>
        <w:t xml:space="preserve">Залучення ресурсів, </w:t>
      </w:r>
      <w:r w:rsidRPr="007E5A9A">
        <w:rPr>
          <w:rFonts w:ascii="Arial" w:hAnsi="Arial" w:cs="Arial"/>
          <w:color w:val="000000"/>
          <w:lang w:val="uk-UA"/>
        </w:rPr>
        <w:lastRenderedPageBreak/>
        <w:t xml:space="preserve">пов'язаних з витратами на програму, навчання медичного персоналу та створення діючих систем фармаконагляду, не були чітко обговорені через </w:t>
      </w:r>
      <w:r w:rsidR="00371565">
        <w:rPr>
          <w:rFonts w:ascii="Arial" w:hAnsi="Arial" w:cs="Arial"/>
          <w:color w:val="000000"/>
          <w:lang w:val="uk-UA"/>
        </w:rPr>
        <w:t>брак</w:t>
      </w:r>
      <w:r w:rsidRPr="007E5A9A">
        <w:rPr>
          <w:rFonts w:ascii="Arial" w:hAnsi="Arial" w:cs="Arial"/>
          <w:color w:val="000000"/>
          <w:lang w:val="uk-UA"/>
        </w:rPr>
        <w:t xml:space="preserve"> часу. Тим не менш, ЕГ прийшла до вис</w:t>
      </w:r>
      <w:r w:rsidR="005B0222">
        <w:rPr>
          <w:rFonts w:ascii="Arial" w:hAnsi="Arial" w:cs="Arial"/>
          <w:color w:val="000000"/>
          <w:lang w:val="uk-UA"/>
        </w:rPr>
        <w:t xml:space="preserve">новку, що </w:t>
      </w:r>
      <w:r w:rsidR="00717FCC">
        <w:rPr>
          <w:rFonts w:ascii="Arial" w:hAnsi="Arial" w:cs="Arial"/>
          <w:color w:val="000000"/>
          <w:lang w:val="uk-UA"/>
        </w:rPr>
        <w:t>фінансові витрати, пов</w:t>
      </w:r>
      <w:r w:rsidR="00717FCC">
        <w:rPr>
          <w:rFonts w:ascii="Arial" w:hAnsi="Arial" w:cs="Arial"/>
          <w:color w:val="000000"/>
          <w:lang w:val="en-US"/>
        </w:rPr>
        <w:t>’</w:t>
      </w:r>
      <w:r w:rsidR="00717FCC">
        <w:rPr>
          <w:rFonts w:ascii="Arial" w:hAnsi="Arial" w:cs="Arial"/>
          <w:color w:val="000000"/>
          <w:lang w:val="uk-UA"/>
        </w:rPr>
        <w:t>язані з</w:t>
      </w:r>
      <w:r w:rsidRPr="007E5A9A">
        <w:rPr>
          <w:rFonts w:ascii="Arial" w:hAnsi="Arial" w:cs="Arial"/>
          <w:color w:val="000000"/>
          <w:lang w:val="uk-UA"/>
        </w:rPr>
        <w:t xml:space="preserve"> введення</w:t>
      </w:r>
      <w:r w:rsidR="00717FCC">
        <w:rPr>
          <w:rFonts w:ascii="Arial" w:hAnsi="Arial" w:cs="Arial"/>
          <w:color w:val="000000"/>
          <w:lang w:val="uk-UA"/>
        </w:rPr>
        <w:t xml:space="preserve">м бедаквіліну, ймовірно, будуть "невеликими </w:t>
      </w:r>
      <w:r w:rsidRPr="007E5A9A">
        <w:rPr>
          <w:rFonts w:ascii="Arial" w:hAnsi="Arial" w:cs="Arial"/>
          <w:color w:val="000000"/>
          <w:lang w:val="uk-UA"/>
        </w:rPr>
        <w:t xml:space="preserve">у порівнянні </w:t>
      </w:r>
      <w:r w:rsidR="00717FCC">
        <w:rPr>
          <w:rFonts w:ascii="Arial" w:hAnsi="Arial" w:cs="Arial"/>
          <w:color w:val="000000"/>
          <w:lang w:val="uk-UA"/>
        </w:rPr>
        <w:t xml:space="preserve">з </w:t>
      </w:r>
      <w:r w:rsidR="00F510A8">
        <w:rPr>
          <w:rFonts w:ascii="Arial" w:hAnsi="Arial" w:cs="Arial"/>
          <w:color w:val="000000"/>
          <w:lang w:val="uk-UA"/>
        </w:rPr>
        <w:t>сумарними</w:t>
      </w:r>
      <w:r w:rsidRPr="007E5A9A">
        <w:rPr>
          <w:rFonts w:ascii="Arial" w:hAnsi="Arial" w:cs="Arial"/>
          <w:color w:val="000000"/>
          <w:lang w:val="uk-UA"/>
        </w:rPr>
        <w:t xml:space="preserve"> </w:t>
      </w:r>
      <w:r w:rsidR="00F510A8">
        <w:rPr>
          <w:rFonts w:ascii="Arial" w:hAnsi="Arial" w:cs="Arial"/>
          <w:color w:val="000000"/>
          <w:lang w:val="uk-UA"/>
        </w:rPr>
        <w:t>перевагами</w:t>
      </w:r>
      <w:r w:rsidRPr="007E5A9A">
        <w:rPr>
          <w:rFonts w:ascii="Arial" w:hAnsi="Arial" w:cs="Arial"/>
          <w:color w:val="000000"/>
          <w:lang w:val="uk-UA"/>
        </w:rPr>
        <w:t>".</w:t>
      </w:r>
    </w:p>
    <w:p w14:paraId="156CD45F" w14:textId="77777777" w:rsidR="00E568A1" w:rsidRPr="00C040BA" w:rsidRDefault="00E568A1" w:rsidP="0037724F">
      <w:pPr>
        <w:autoSpaceDE w:val="0"/>
        <w:autoSpaceDN w:val="0"/>
        <w:adjustRightInd w:val="0"/>
        <w:spacing w:after="0" w:line="240" w:lineRule="auto"/>
        <w:jc w:val="both"/>
        <w:rPr>
          <w:rFonts w:ascii="Arial" w:hAnsi="Arial" w:cs="Arial"/>
          <w:color w:val="000000"/>
          <w:lang w:val="uk-UA"/>
        </w:rPr>
      </w:pPr>
    </w:p>
    <w:p w14:paraId="0B1C0526" w14:textId="5701AD05" w:rsidR="00E568A1" w:rsidRDefault="00831F41"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Нарешті, </w:t>
      </w:r>
      <w:r w:rsidR="00E568A1" w:rsidRPr="00DC1232">
        <w:rPr>
          <w:rFonts w:ascii="Arial" w:hAnsi="Arial" w:cs="Arial"/>
          <w:color w:val="000000"/>
          <w:lang w:val="uk-UA"/>
        </w:rPr>
        <w:t>ЕГ відм</w:t>
      </w:r>
      <w:r w:rsidR="00717FCC">
        <w:rPr>
          <w:rFonts w:ascii="Arial" w:hAnsi="Arial" w:cs="Arial"/>
          <w:color w:val="000000"/>
          <w:lang w:val="uk-UA"/>
        </w:rPr>
        <w:t xml:space="preserve">ітила, що </w:t>
      </w:r>
      <w:r w:rsidR="00331AB5">
        <w:rPr>
          <w:rFonts w:ascii="Arial" w:hAnsi="Arial" w:cs="Arial"/>
          <w:color w:val="000000"/>
          <w:lang w:val="uk-UA"/>
        </w:rPr>
        <w:t>доступність</w:t>
      </w:r>
      <w:r w:rsidR="00E568A1" w:rsidRPr="00DC1232">
        <w:rPr>
          <w:rFonts w:ascii="Arial" w:hAnsi="Arial" w:cs="Arial"/>
          <w:color w:val="000000"/>
          <w:lang w:val="uk-UA"/>
        </w:rPr>
        <w:t xml:space="preserve"> додавання бедаквіліну до рекомендованого ВООЗ режиму лікування </w:t>
      </w:r>
      <w:r w:rsidR="009B51D9">
        <w:rPr>
          <w:rFonts w:ascii="Arial" w:hAnsi="Arial" w:cs="Arial"/>
          <w:color w:val="000000"/>
          <w:lang w:val="uk-UA"/>
        </w:rPr>
        <w:t>МР ТБ</w:t>
      </w:r>
      <w:r w:rsidR="00717FCC">
        <w:rPr>
          <w:rFonts w:ascii="Arial" w:hAnsi="Arial" w:cs="Arial"/>
          <w:color w:val="000000"/>
          <w:lang w:val="uk-UA"/>
        </w:rPr>
        <w:t xml:space="preserve"> </w:t>
      </w:r>
      <w:r w:rsidR="00E568A1" w:rsidRPr="00DC1232">
        <w:rPr>
          <w:rFonts w:ascii="Arial" w:hAnsi="Arial" w:cs="Arial"/>
          <w:color w:val="000000"/>
          <w:lang w:val="uk-UA"/>
        </w:rPr>
        <w:t>важко оцінити</w:t>
      </w:r>
      <w:r w:rsidR="00331AB5">
        <w:rPr>
          <w:rFonts w:ascii="Arial" w:hAnsi="Arial" w:cs="Arial"/>
          <w:color w:val="000000"/>
          <w:lang w:val="uk-UA"/>
        </w:rPr>
        <w:t xml:space="preserve"> через невизначеність країн щодо готовності</w:t>
      </w:r>
      <w:r w:rsidR="00717FCC">
        <w:rPr>
          <w:rFonts w:ascii="Arial" w:hAnsi="Arial" w:cs="Arial"/>
          <w:color w:val="000000"/>
          <w:lang w:val="uk-UA"/>
        </w:rPr>
        <w:t xml:space="preserve"> </w:t>
      </w:r>
      <w:r w:rsidR="00331AB5">
        <w:rPr>
          <w:rFonts w:ascii="Arial" w:hAnsi="Arial" w:cs="Arial"/>
          <w:color w:val="000000"/>
          <w:lang w:val="uk-UA"/>
        </w:rPr>
        <w:t>купувати препарат</w:t>
      </w:r>
      <w:r w:rsidR="00E568A1" w:rsidRPr="00DC1232">
        <w:rPr>
          <w:rFonts w:ascii="Arial" w:hAnsi="Arial" w:cs="Arial"/>
          <w:color w:val="000000"/>
          <w:lang w:val="uk-UA"/>
        </w:rPr>
        <w:t>, а також ч</w:t>
      </w:r>
      <w:r w:rsidR="00717FCC">
        <w:rPr>
          <w:rFonts w:ascii="Arial" w:hAnsi="Arial" w:cs="Arial"/>
          <w:color w:val="000000"/>
          <w:lang w:val="uk-UA"/>
        </w:rPr>
        <w:t>ерез різницю в поглядах шодо балансу користі та шкоди</w:t>
      </w:r>
      <w:r w:rsidR="00E568A1" w:rsidRPr="00DC1232">
        <w:rPr>
          <w:rFonts w:ascii="Arial" w:hAnsi="Arial" w:cs="Arial"/>
          <w:color w:val="000000"/>
          <w:lang w:val="uk-UA"/>
        </w:rPr>
        <w:t>, про що згадувалось вище.</w:t>
      </w:r>
    </w:p>
    <w:p w14:paraId="4CFE44F7" w14:textId="77777777" w:rsidR="00E568A1" w:rsidRDefault="00E568A1" w:rsidP="0037724F">
      <w:pPr>
        <w:autoSpaceDE w:val="0"/>
        <w:autoSpaceDN w:val="0"/>
        <w:adjustRightInd w:val="0"/>
        <w:spacing w:after="0" w:line="240" w:lineRule="auto"/>
        <w:jc w:val="both"/>
        <w:rPr>
          <w:rFonts w:ascii="Arial" w:hAnsi="Arial" w:cs="Arial"/>
          <w:color w:val="000000"/>
          <w:szCs w:val="28"/>
          <w:lang w:val="uk-UA"/>
        </w:rPr>
      </w:pPr>
    </w:p>
    <w:p w14:paraId="51A8A07B" w14:textId="77777777" w:rsidR="000543E6" w:rsidRPr="000543E6" w:rsidRDefault="000543E6" w:rsidP="0037724F">
      <w:pPr>
        <w:autoSpaceDE w:val="0"/>
        <w:autoSpaceDN w:val="0"/>
        <w:adjustRightInd w:val="0"/>
        <w:spacing w:after="0" w:line="240" w:lineRule="auto"/>
        <w:jc w:val="both"/>
        <w:rPr>
          <w:rFonts w:ascii="Arial" w:hAnsi="Arial" w:cs="Arial"/>
          <w:color w:val="000000"/>
          <w:sz w:val="14"/>
          <w:szCs w:val="14"/>
          <w:lang w:val="uk-UA"/>
        </w:rPr>
      </w:pPr>
    </w:p>
    <w:p w14:paraId="4D2165F9" w14:textId="77777777" w:rsidR="00E568A1" w:rsidRPr="002D30D3" w:rsidRDefault="00E568A1" w:rsidP="009B51D9">
      <w:pPr>
        <w:autoSpaceDE w:val="0"/>
        <w:autoSpaceDN w:val="0"/>
        <w:adjustRightInd w:val="0"/>
        <w:spacing w:after="0" w:line="240" w:lineRule="auto"/>
        <w:jc w:val="both"/>
        <w:outlineLvl w:val="0"/>
        <w:rPr>
          <w:rFonts w:ascii="Arial" w:hAnsi="Arial" w:cs="Arial"/>
          <w:b/>
          <w:bCs/>
          <w:color w:val="6A2041"/>
          <w:sz w:val="28"/>
          <w:szCs w:val="28"/>
          <w:lang w:val="uk-UA"/>
        </w:rPr>
      </w:pPr>
      <w:r w:rsidRPr="002D30D3">
        <w:rPr>
          <w:rFonts w:ascii="Arial" w:hAnsi="Arial" w:cs="Arial"/>
          <w:b/>
          <w:bCs/>
          <w:color w:val="6A2041"/>
          <w:sz w:val="28"/>
          <w:szCs w:val="28"/>
        </w:rPr>
        <w:t xml:space="preserve">5.2. </w:t>
      </w:r>
      <w:r w:rsidRPr="002D30D3">
        <w:rPr>
          <w:rFonts w:ascii="Arial" w:hAnsi="Arial" w:cs="Arial"/>
          <w:b/>
          <w:bCs/>
          <w:color w:val="6A2041"/>
          <w:sz w:val="28"/>
          <w:szCs w:val="28"/>
          <w:lang w:val="uk-UA"/>
        </w:rPr>
        <w:t>Рекомендації Експертної Групи</w:t>
      </w:r>
    </w:p>
    <w:p w14:paraId="1551F2C0" w14:textId="77777777" w:rsidR="00E568A1" w:rsidRPr="000543E6" w:rsidRDefault="00E568A1" w:rsidP="0037724F">
      <w:pPr>
        <w:autoSpaceDE w:val="0"/>
        <w:autoSpaceDN w:val="0"/>
        <w:adjustRightInd w:val="0"/>
        <w:spacing w:after="0" w:line="240" w:lineRule="auto"/>
        <w:jc w:val="both"/>
        <w:rPr>
          <w:rFonts w:ascii="Arial" w:hAnsi="Arial" w:cs="Arial"/>
          <w:color w:val="000000"/>
          <w:sz w:val="24"/>
          <w:szCs w:val="24"/>
        </w:rPr>
      </w:pPr>
    </w:p>
    <w:p w14:paraId="03DA7BCE" w14:textId="1700572F" w:rsidR="00E568A1" w:rsidRDefault="00E568A1" w:rsidP="0037724F">
      <w:pPr>
        <w:autoSpaceDE w:val="0"/>
        <w:autoSpaceDN w:val="0"/>
        <w:adjustRightInd w:val="0"/>
        <w:spacing w:after="0" w:line="240" w:lineRule="auto"/>
        <w:jc w:val="both"/>
        <w:rPr>
          <w:rFonts w:ascii="Arial" w:hAnsi="Arial" w:cs="Arial"/>
          <w:color w:val="000000"/>
          <w:lang w:val="uk-UA"/>
        </w:rPr>
      </w:pPr>
      <w:r w:rsidRPr="00DC1232">
        <w:rPr>
          <w:rFonts w:ascii="Arial" w:hAnsi="Arial" w:cs="Arial"/>
          <w:color w:val="000000"/>
        </w:rPr>
        <w:t>ЕГ запропонувала, що в якості тимчасової рекомендації бедаквілін може бути доданий до рекомен</w:t>
      </w:r>
      <w:r w:rsidR="00F510A8">
        <w:rPr>
          <w:rFonts w:ascii="Arial" w:hAnsi="Arial" w:cs="Arial"/>
          <w:color w:val="000000"/>
        </w:rPr>
        <w:t xml:space="preserve">дованого ВООЗ режиму лікування </w:t>
      </w:r>
      <w:r w:rsidRPr="00DC1232">
        <w:rPr>
          <w:rFonts w:ascii="Arial" w:hAnsi="Arial" w:cs="Arial"/>
          <w:color w:val="000000"/>
        </w:rPr>
        <w:t xml:space="preserve">дорослих, хворих на </w:t>
      </w:r>
      <w:r w:rsidR="009B51D9">
        <w:rPr>
          <w:rFonts w:ascii="Arial" w:hAnsi="Arial" w:cs="Arial"/>
          <w:color w:val="000000"/>
        </w:rPr>
        <w:t>МР ТБ</w:t>
      </w:r>
      <w:r w:rsidR="00F510A8">
        <w:rPr>
          <w:rFonts w:ascii="Arial" w:hAnsi="Arial" w:cs="Arial"/>
          <w:color w:val="000000"/>
          <w:lang w:val="uk-UA"/>
        </w:rPr>
        <w:t>,</w:t>
      </w:r>
      <w:r w:rsidRPr="00DC1232">
        <w:rPr>
          <w:rFonts w:ascii="Arial" w:hAnsi="Arial" w:cs="Arial"/>
          <w:color w:val="000000"/>
        </w:rPr>
        <w:t xml:space="preserve"> при наступних умовах (умовна рекомендація,</w:t>
      </w:r>
      <w:r w:rsidR="005412C2">
        <w:rPr>
          <w:rFonts w:ascii="Arial" w:hAnsi="Arial" w:cs="Arial"/>
          <w:color w:val="000000"/>
        </w:rPr>
        <w:t xml:space="preserve"> дуже низька достовірність оцін</w:t>
      </w:r>
      <w:r w:rsidRPr="00DC1232">
        <w:rPr>
          <w:rFonts w:ascii="Arial" w:hAnsi="Arial" w:cs="Arial"/>
          <w:color w:val="000000"/>
        </w:rPr>
        <w:t>к</w:t>
      </w:r>
      <w:r w:rsidR="005412C2">
        <w:rPr>
          <w:rFonts w:ascii="Arial" w:hAnsi="Arial" w:cs="Arial"/>
          <w:color w:val="000000"/>
        </w:rPr>
        <w:t>и</w:t>
      </w:r>
      <w:r w:rsidRPr="00DC1232">
        <w:rPr>
          <w:rFonts w:ascii="Arial" w:hAnsi="Arial" w:cs="Arial"/>
          <w:color w:val="000000"/>
        </w:rPr>
        <w:t xml:space="preserve"> наслідків):</w:t>
      </w:r>
    </w:p>
    <w:p w14:paraId="6FCC4F52" w14:textId="77777777" w:rsidR="00E568A1" w:rsidRPr="00DC1232" w:rsidRDefault="00E568A1" w:rsidP="0037724F">
      <w:pPr>
        <w:autoSpaceDE w:val="0"/>
        <w:autoSpaceDN w:val="0"/>
        <w:adjustRightInd w:val="0"/>
        <w:spacing w:after="0" w:line="240" w:lineRule="auto"/>
        <w:jc w:val="both"/>
        <w:rPr>
          <w:rFonts w:ascii="Arial" w:hAnsi="Arial" w:cs="Arial"/>
          <w:color w:val="000000"/>
          <w:lang w:val="uk-UA"/>
        </w:rPr>
      </w:pPr>
    </w:p>
    <w:p w14:paraId="0C0BF38E" w14:textId="43DE8746" w:rsidR="00E568A1" w:rsidRDefault="00E568A1" w:rsidP="0037724F">
      <w:pPr>
        <w:autoSpaceDE w:val="0"/>
        <w:autoSpaceDN w:val="0"/>
        <w:adjustRightInd w:val="0"/>
        <w:spacing w:after="0" w:line="240" w:lineRule="auto"/>
        <w:jc w:val="both"/>
        <w:rPr>
          <w:rFonts w:ascii="Arial" w:hAnsi="Arial" w:cs="Arial"/>
          <w:color w:val="000000"/>
          <w:lang w:val="uk-UA"/>
        </w:rPr>
      </w:pPr>
      <w:r w:rsidRPr="005B4A9C">
        <w:rPr>
          <w:rFonts w:ascii="Arial" w:hAnsi="Arial" w:cs="Arial"/>
          <w:color w:val="000000"/>
          <w:lang w:val="uk-UA"/>
        </w:rPr>
        <w:t xml:space="preserve">• коли неможливо розробити ефективний режим лікування, що </w:t>
      </w:r>
      <w:r w:rsidR="00F510A8">
        <w:rPr>
          <w:rFonts w:ascii="Arial" w:hAnsi="Arial" w:cs="Arial"/>
          <w:color w:val="000000"/>
          <w:lang w:val="uk-UA"/>
        </w:rPr>
        <w:t>включає</w:t>
      </w:r>
      <w:r w:rsidRPr="005B4A9C">
        <w:rPr>
          <w:rFonts w:ascii="Arial" w:hAnsi="Arial" w:cs="Arial"/>
          <w:color w:val="000000"/>
          <w:lang w:val="uk-UA"/>
        </w:rPr>
        <w:t xml:space="preserve"> чотири препарати </w:t>
      </w:r>
      <w:r w:rsidR="00F0605F">
        <w:rPr>
          <w:rFonts w:ascii="Arial" w:hAnsi="Arial" w:cs="Arial"/>
          <w:color w:val="000000"/>
          <w:lang w:val="uk-UA"/>
        </w:rPr>
        <w:t>другого ряду</w:t>
      </w:r>
      <w:r w:rsidRPr="005B4A9C">
        <w:rPr>
          <w:rFonts w:ascii="Arial" w:hAnsi="Arial" w:cs="Arial"/>
          <w:color w:val="000000"/>
          <w:lang w:val="uk-UA"/>
        </w:rPr>
        <w:t xml:space="preserve"> на додаток до піразинаміду, згідно з рекомендаціями ВООЗ;</w:t>
      </w:r>
    </w:p>
    <w:p w14:paraId="1782CD96" w14:textId="77777777" w:rsidR="005412C2" w:rsidRDefault="00E568A1" w:rsidP="0037724F">
      <w:pPr>
        <w:autoSpaceDE w:val="0"/>
        <w:autoSpaceDN w:val="0"/>
        <w:adjustRightInd w:val="0"/>
        <w:spacing w:after="0" w:line="240" w:lineRule="auto"/>
        <w:jc w:val="both"/>
        <w:rPr>
          <w:rFonts w:ascii="Arial" w:hAnsi="Arial" w:cs="Arial"/>
          <w:color w:val="000000"/>
          <w:lang w:val="uk-UA"/>
        </w:rPr>
      </w:pPr>
      <w:r w:rsidRPr="005B4A9C">
        <w:rPr>
          <w:rFonts w:ascii="Arial" w:hAnsi="Arial" w:cs="Arial"/>
          <w:color w:val="000000"/>
          <w:lang w:val="uk-UA"/>
        </w:rPr>
        <w:t>• коли є підтверджені докази стійкості до будь-якого фторхінолону на додаток до мультирезистентності.</w:t>
      </w:r>
    </w:p>
    <w:p w14:paraId="2DCF7170" w14:textId="77777777" w:rsidR="005412C2" w:rsidRDefault="005412C2" w:rsidP="0037724F">
      <w:pPr>
        <w:autoSpaceDE w:val="0"/>
        <w:autoSpaceDN w:val="0"/>
        <w:adjustRightInd w:val="0"/>
        <w:spacing w:after="0" w:line="240" w:lineRule="auto"/>
        <w:jc w:val="both"/>
        <w:rPr>
          <w:rFonts w:ascii="Arial" w:hAnsi="Arial" w:cs="Arial"/>
          <w:color w:val="000000"/>
          <w:lang w:val="uk-UA"/>
        </w:rPr>
      </w:pPr>
    </w:p>
    <w:p w14:paraId="2C208CE8" w14:textId="1015C266" w:rsidR="00E568A1" w:rsidRDefault="00E568A1" w:rsidP="00AB4F35">
      <w:pPr>
        <w:autoSpaceDE w:val="0"/>
        <w:autoSpaceDN w:val="0"/>
        <w:adjustRightInd w:val="0"/>
        <w:spacing w:after="0" w:line="240" w:lineRule="auto"/>
        <w:ind w:left="-426"/>
        <w:jc w:val="both"/>
        <w:rPr>
          <w:rFonts w:ascii="Arial" w:hAnsi="Arial" w:cs="Arial"/>
          <w:color w:val="000000"/>
          <w:lang w:val="uk-UA"/>
        </w:rPr>
      </w:pPr>
      <w:r>
        <w:rPr>
          <w:rFonts w:ascii="Arial" w:hAnsi="Arial" w:cs="Arial"/>
          <w:color w:val="000000"/>
        </w:rPr>
        <w:t xml:space="preserve">Крім того, </w:t>
      </w:r>
      <w:r>
        <w:rPr>
          <w:rFonts w:ascii="Arial" w:hAnsi="Arial" w:cs="Arial"/>
          <w:color w:val="000000"/>
          <w:lang w:val="uk-UA"/>
        </w:rPr>
        <w:t>ЕГ</w:t>
      </w:r>
      <w:r>
        <w:rPr>
          <w:rFonts w:ascii="Arial" w:hAnsi="Arial" w:cs="Arial"/>
          <w:color w:val="000000"/>
        </w:rPr>
        <w:t xml:space="preserve"> рекоменду</w:t>
      </w:r>
      <w:r>
        <w:rPr>
          <w:rFonts w:ascii="Arial" w:hAnsi="Arial" w:cs="Arial"/>
          <w:color w:val="000000"/>
          <w:lang w:val="uk-UA"/>
        </w:rPr>
        <w:t>вала</w:t>
      </w:r>
      <w:r w:rsidRPr="005B4A9C">
        <w:rPr>
          <w:rFonts w:ascii="Arial" w:hAnsi="Arial" w:cs="Arial"/>
          <w:color w:val="000000"/>
        </w:rPr>
        <w:t xml:space="preserve">, </w:t>
      </w:r>
      <w:r w:rsidR="00F510A8">
        <w:rPr>
          <w:rFonts w:ascii="Arial" w:hAnsi="Arial" w:cs="Arial"/>
          <w:color w:val="000000"/>
          <w:lang w:val="uk-UA"/>
        </w:rPr>
        <w:t>наступне</w:t>
      </w:r>
      <w:r w:rsidRPr="005B4A9C">
        <w:rPr>
          <w:rFonts w:ascii="Arial" w:hAnsi="Arial" w:cs="Arial"/>
          <w:color w:val="000000"/>
        </w:rPr>
        <w:t>:</w:t>
      </w:r>
    </w:p>
    <w:p w14:paraId="77CA5BC5" w14:textId="77777777" w:rsidR="00E568A1" w:rsidRPr="00F510A8" w:rsidRDefault="00E568A1" w:rsidP="0037724F">
      <w:pPr>
        <w:autoSpaceDE w:val="0"/>
        <w:autoSpaceDN w:val="0"/>
        <w:adjustRightInd w:val="0"/>
        <w:spacing w:after="0" w:line="240" w:lineRule="auto"/>
        <w:jc w:val="both"/>
        <w:rPr>
          <w:rFonts w:ascii="Arial" w:hAnsi="Arial" w:cs="Arial"/>
          <w:color w:val="000000"/>
          <w:sz w:val="16"/>
          <w:szCs w:val="16"/>
          <w:lang w:val="uk-UA"/>
        </w:rPr>
      </w:pPr>
    </w:p>
    <w:p w14:paraId="292F9D50" w14:textId="77777777" w:rsidR="00E568A1" w:rsidRDefault="00E568A1" w:rsidP="0037724F">
      <w:pPr>
        <w:autoSpaceDE w:val="0"/>
        <w:autoSpaceDN w:val="0"/>
        <w:adjustRightInd w:val="0"/>
        <w:spacing w:after="0" w:line="240" w:lineRule="auto"/>
        <w:jc w:val="both"/>
        <w:rPr>
          <w:rFonts w:ascii="Arial" w:hAnsi="Arial" w:cs="Arial"/>
          <w:color w:val="000000"/>
        </w:rPr>
      </w:pPr>
      <w:r w:rsidRPr="00CA3100">
        <w:rPr>
          <w:rFonts w:ascii="Arial" w:hAnsi="Arial" w:cs="Arial"/>
          <w:color w:val="000000"/>
        </w:rPr>
        <w:t>• слід належним чином дотримуватися обґрунтованого проце</w:t>
      </w:r>
      <w:r>
        <w:rPr>
          <w:rFonts w:ascii="Arial" w:hAnsi="Arial" w:cs="Arial"/>
          <w:color w:val="000000"/>
        </w:rPr>
        <w:t>су прийняття рішення пацієнтами</w:t>
      </w:r>
      <w:r w:rsidRPr="00CA3100">
        <w:rPr>
          <w:rFonts w:ascii="Arial" w:hAnsi="Arial" w:cs="Arial"/>
          <w:color w:val="000000"/>
        </w:rPr>
        <w:t>;</w:t>
      </w:r>
    </w:p>
    <w:p w14:paraId="22B2CC92" w14:textId="77777777" w:rsidR="000543E6" w:rsidRPr="000543E6" w:rsidRDefault="000543E6" w:rsidP="0037724F">
      <w:pPr>
        <w:autoSpaceDE w:val="0"/>
        <w:autoSpaceDN w:val="0"/>
        <w:adjustRightInd w:val="0"/>
        <w:spacing w:after="0" w:line="240" w:lineRule="auto"/>
        <w:jc w:val="both"/>
        <w:rPr>
          <w:rFonts w:ascii="Arial" w:hAnsi="Arial" w:cs="Arial"/>
          <w:color w:val="000000"/>
          <w:sz w:val="10"/>
          <w:szCs w:val="10"/>
        </w:rPr>
      </w:pPr>
    </w:p>
    <w:p w14:paraId="405ED3F5"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CA3100">
        <w:rPr>
          <w:rFonts w:ascii="Arial" w:hAnsi="Arial" w:cs="Arial"/>
          <w:color w:val="000000"/>
        </w:rPr>
        <w:t>• бедаквілін слід використовувати з обережністю людям, які живуть з ВІЛ, а також пацієнтам з коморбідністю (</w:t>
      </w:r>
      <w:r w:rsidR="00F510A8">
        <w:rPr>
          <w:rFonts w:ascii="Arial" w:hAnsi="Arial" w:cs="Arial"/>
          <w:color w:val="000000"/>
          <w:lang w:val="uk-UA"/>
        </w:rPr>
        <w:t>напр.,</w:t>
      </w:r>
      <w:r w:rsidRPr="00CA3100">
        <w:rPr>
          <w:rFonts w:ascii="Arial" w:hAnsi="Arial" w:cs="Arial"/>
          <w:color w:val="000000"/>
        </w:rPr>
        <w:t xml:space="preserve"> діабет), або людям, які повідомляють про вживання алкоголю або наркотичних речовин, через обмеженість або відсутність інформації;</w:t>
      </w:r>
    </w:p>
    <w:p w14:paraId="10F62C75" w14:textId="77777777" w:rsidR="000543E6" w:rsidRPr="000543E6" w:rsidRDefault="000543E6" w:rsidP="0037724F">
      <w:pPr>
        <w:autoSpaceDE w:val="0"/>
        <w:autoSpaceDN w:val="0"/>
        <w:adjustRightInd w:val="0"/>
        <w:spacing w:after="0" w:line="240" w:lineRule="auto"/>
        <w:jc w:val="both"/>
        <w:rPr>
          <w:rFonts w:ascii="Arial" w:hAnsi="Arial" w:cs="Arial"/>
          <w:color w:val="000000"/>
          <w:sz w:val="10"/>
          <w:szCs w:val="10"/>
          <w:lang w:val="uk-UA"/>
        </w:rPr>
      </w:pPr>
    </w:p>
    <w:p w14:paraId="4F143ECC" w14:textId="77777777" w:rsidR="00E568A1" w:rsidRDefault="00F510A8"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 </w:t>
      </w:r>
      <w:r w:rsidR="00E568A1" w:rsidRPr="00430F4D">
        <w:rPr>
          <w:rFonts w:ascii="Arial" w:hAnsi="Arial" w:cs="Arial"/>
          <w:color w:val="000000"/>
          <w:lang w:val="uk-UA"/>
        </w:rPr>
        <w:t>бедаквілін  можна використовува</w:t>
      </w:r>
      <w:r>
        <w:rPr>
          <w:rFonts w:ascii="Arial" w:hAnsi="Arial" w:cs="Arial"/>
          <w:color w:val="000000"/>
          <w:lang w:val="uk-UA"/>
        </w:rPr>
        <w:t>ти максимум протягом 6 місяців та</w:t>
      </w:r>
      <w:r w:rsidR="00E568A1" w:rsidRPr="00430F4D">
        <w:rPr>
          <w:rFonts w:ascii="Arial" w:hAnsi="Arial" w:cs="Arial"/>
          <w:color w:val="000000"/>
          <w:lang w:val="uk-UA"/>
        </w:rPr>
        <w:t xml:space="preserve"> </w:t>
      </w:r>
      <w:r>
        <w:rPr>
          <w:rFonts w:ascii="Arial" w:hAnsi="Arial" w:cs="Arial"/>
          <w:color w:val="000000"/>
          <w:lang w:val="uk-UA"/>
        </w:rPr>
        <w:t>у</w:t>
      </w:r>
      <w:r w:rsidR="00E568A1" w:rsidRPr="00430F4D">
        <w:rPr>
          <w:rFonts w:ascii="Arial" w:hAnsi="Arial" w:cs="Arial"/>
          <w:color w:val="000000"/>
          <w:lang w:val="uk-UA"/>
        </w:rPr>
        <w:t xml:space="preserve"> рекомендован</w:t>
      </w:r>
      <w:r>
        <w:rPr>
          <w:rFonts w:ascii="Arial" w:hAnsi="Arial" w:cs="Arial"/>
          <w:color w:val="000000"/>
          <w:lang w:val="uk-UA"/>
        </w:rPr>
        <w:t>их дозах</w:t>
      </w:r>
      <w:r w:rsidR="00E568A1" w:rsidRPr="00430F4D">
        <w:rPr>
          <w:rFonts w:ascii="Arial" w:hAnsi="Arial" w:cs="Arial"/>
          <w:color w:val="000000"/>
          <w:lang w:val="uk-UA"/>
        </w:rPr>
        <w:t xml:space="preserve"> (400 мг на добу протягом перших 2 тижнів, а потім по 200 мг тричі на тиждень протягом інших 22 тижнів);</w:t>
      </w:r>
    </w:p>
    <w:p w14:paraId="56B9FE16" w14:textId="77777777" w:rsidR="000543E6" w:rsidRPr="000543E6" w:rsidRDefault="000543E6" w:rsidP="00430F4D">
      <w:pPr>
        <w:autoSpaceDE w:val="0"/>
        <w:autoSpaceDN w:val="0"/>
        <w:adjustRightInd w:val="0"/>
        <w:spacing w:after="0" w:line="240" w:lineRule="auto"/>
        <w:jc w:val="both"/>
        <w:rPr>
          <w:rFonts w:ascii="Arial" w:hAnsi="Arial" w:cs="Arial"/>
          <w:color w:val="000000"/>
          <w:sz w:val="10"/>
          <w:szCs w:val="10"/>
          <w:lang w:val="uk-UA"/>
        </w:rPr>
      </w:pPr>
    </w:p>
    <w:p w14:paraId="38557400" w14:textId="77777777" w:rsidR="00E568A1" w:rsidRPr="00430F4D" w:rsidRDefault="00E568A1" w:rsidP="00430F4D">
      <w:pPr>
        <w:autoSpaceDE w:val="0"/>
        <w:autoSpaceDN w:val="0"/>
        <w:adjustRightInd w:val="0"/>
        <w:spacing w:after="0" w:line="240" w:lineRule="auto"/>
        <w:jc w:val="both"/>
        <w:rPr>
          <w:rFonts w:ascii="Arial" w:hAnsi="Arial" w:cs="Arial"/>
          <w:color w:val="000000"/>
          <w:lang w:val="uk-UA"/>
        </w:rPr>
      </w:pPr>
      <w:r w:rsidRPr="00430F4D">
        <w:rPr>
          <w:rFonts w:ascii="Arial" w:hAnsi="Arial" w:cs="Arial"/>
          <w:color w:val="000000"/>
          <w:lang w:val="uk-UA"/>
        </w:rPr>
        <w:t>• бедаквілін не слід додавати окремо до не</w:t>
      </w:r>
      <w:r w:rsidR="00F510A8">
        <w:rPr>
          <w:rFonts w:ascii="Arial" w:hAnsi="Arial" w:cs="Arial"/>
          <w:color w:val="000000"/>
          <w:lang w:val="uk-UA"/>
        </w:rPr>
        <w:t>ефективного</w:t>
      </w:r>
      <w:r w:rsidRPr="00430F4D">
        <w:rPr>
          <w:rFonts w:ascii="Arial" w:hAnsi="Arial" w:cs="Arial"/>
          <w:color w:val="000000"/>
          <w:lang w:val="uk-UA"/>
        </w:rPr>
        <w:t xml:space="preserve"> режиму;</w:t>
      </w:r>
    </w:p>
    <w:p w14:paraId="414FEDF4" w14:textId="77777777" w:rsidR="000543E6" w:rsidRPr="000543E6" w:rsidRDefault="000543E6" w:rsidP="00430F4D">
      <w:pPr>
        <w:autoSpaceDE w:val="0"/>
        <w:autoSpaceDN w:val="0"/>
        <w:adjustRightInd w:val="0"/>
        <w:spacing w:after="0" w:line="240" w:lineRule="auto"/>
        <w:jc w:val="both"/>
        <w:rPr>
          <w:rFonts w:ascii="Arial" w:hAnsi="Arial" w:cs="Arial"/>
          <w:color w:val="000000"/>
          <w:sz w:val="10"/>
          <w:szCs w:val="10"/>
          <w:lang w:val="uk-UA"/>
        </w:rPr>
      </w:pPr>
    </w:p>
    <w:p w14:paraId="32688E32" w14:textId="48BCBAE1" w:rsidR="00E568A1" w:rsidRDefault="00F510A8" w:rsidP="00430F4D">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обов'язково</w:t>
      </w:r>
      <w:r w:rsidR="00E568A1" w:rsidRPr="00430F4D">
        <w:rPr>
          <w:rFonts w:ascii="Arial" w:hAnsi="Arial" w:cs="Arial"/>
          <w:color w:val="000000"/>
          <w:lang w:val="uk-UA"/>
        </w:rPr>
        <w:t xml:space="preserve"> пров</w:t>
      </w:r>
      <w:r>
        <w:rPr>
          <w:rFonts w:ascii="Arial" w:hAnsi="Arial" w:cs="Arial"/>
          <w:color w:val="000000"/>
          <w:lang w:val="uk-UA"/>
        </w:rPr>
        <w:t xml:space="preserve">одити базове тестування та моніторинг у разі </w:t>
      </w:r>
      <w:r w:rsidR="00E568A1" w:rsidRPr="00430F4D">
        <w:rPr>
          <w:rFonts w:ascii="Arial" w:hAnsi="Arial" w:cs="Arial"/>
          <w:color w:val="000000"/>
          <w:lang w:val="uk-UA"/>
        </w:rPr>
        <w:t xml:space="preserve"> </w:t>
      </w:r>
      <w:r w:rsidR="00AB4F35">
        <w:rPr>
          <w:rFonts w:ascii="Arial" w:hAnsi="Arial" w:cs="Arial"/>
          <w:color w:val="000000"/>
          <w:lang w:val="uk-UA"/>
        </w:rPr>
        <w:t>подовження</w:t>
      </w:r>
      <w:r w:rsidR="00E568A1" w:rsidRPr="00430F4D">
        <w:rPr>
          <w:rFonts w:ascii="Arial" w:hAnsi="Arial" w:cs="Arial"/>
          <w:color w:val="000000"/>
          <w:lang w:val="uk-UA"/>
        </w:rPr>
        <w:t xml:space="preserve"> QT та розвитку аритмії;</w:t>
      </w:r>
    </w:p>
    <w:p w14:paraId="7023E4DC"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430F4D">
        <w:rPr>
          <w:rFonts w:ascii="Arial" w:hAnsi="Arial" w:cs="Arial"/>
          <w:color w:val="000000"/>
          <w:lang w:val="uk-UA"/>
        </w:rPr>
        <w:t>• має бути встановлений клінічний моніторинг та лікування супутніх захворювань (особливо захворювання серця та печінки);</w:t>
      </w:r>
    </w:p>
    <w:p w14:paraId="2C0FBDD0" w14:textId="77777777" w:rsidR="000543E6" w:rsidRPr="000543E6" w:rsidRDefault="000543E6" w:rsidP="0037724F">
      <w:pPr>
        <w:autoSpaceDE w:val="0"/>
        <w:autoSpaceDN w:val="0"/>
        <w:adjustRightInd w:val="0"/>
        <w:spacing w:after="0" w:line="240" w:lineRule="auto"/>
        <w:jc w:val="both"/>
        <w:rPr>
          <w:rFonts w:ascii="Arial" w:hAnsi="Arial" w:cs="Arial"/>
          <w:color w:val="000000"/>
          <w:sz w:val="10"/>
          <w:szCs w:val="10"/>
          <w:lang w:val="uk-UA"/>
        </w:rPr>
      </w:pPr>
    </w:p>
    <w:p w14:paraId="72F1B1FF" w14:textId="323C182F" w:rsidR="00E568A1" w:rsidRDefault="00E568A1" w:rsidP="0037724F">
      <w:pPr>
        <w:autoSpaceDE w:val="0"/>
        <w:autoSpaceDN w:val="0"/>
        <w:adjustRightInd w:val="0"/>
        <w:spacing w:after="0" w:line="240" w:lineRule="auto"/>
        <w:jc w:val="both"/>
        <w:rPr>
          <w:rFonts w:ascii="Arial" w:hAnsi="Arial" w:cs="Arial"/>
          <w:color w:val="000000"/>
          <w:lang w:val="uk-UA"/>
        </w:rPr>
      </w:pPr>
      <w:r w:rsidRPr="00430F4D">
        <w:rPr>
          <w:rFonts w:ascii="Arial" w:hAnsi="Arial" w:cs="Arial"/>
          <w:color w:val="000000"/>
          <w:lang w:val="uk-UA"/>
        </w:rPr>
        <w:t xml:space="preserve">• </w:t>
      </w:r>
      <w:r w:rsidR="00F510A8">
        <w:rPr>
          <w:rFonts w:ascii="Arial" w:hAnsi="Arial" w:cs="Arial"/>
          <w:color w:val="000000"/>
          <w:lang w:val="uk-UA"/>
        </w:rPr>
        <w:t>посилення спонтанної звітності</w:t>
      </w:r>
      <w:r w:rsidRPr="00430F4D">
        <w:rPr>
          <w:rFonts w:ascii="Arial" w:hAnsi="Arial" w:cs="Arial"/>
          <w:color w:val="000000"/>
          <w:lang w:val="uk-UA"/>
        </w:rPr>
        <w:t xml:space="preserve"> про побічні реакці</w:t>
      </w:r>
      <w:r w:rsidR="00B3064A">
        <w:rPr>
          <w:rFonts w:ascii="Arial" w:hAnsi="Arial" w:cs="Arial"/>
          <w:color w:val="000000"/>
          <w:lang w:val="uk-UA"/>
        </w:rPr>
        <w:t>ї</w:t>
      </w:r>
      <w:r w:rsidRPr="00430F4D">
        <w:rPr>
          <w:rFonts w:ascii="Arial" w:hAnsi="Arial" w:cs="Arial"/>
          <w:color w:val="000000"/>
          <w:lang w:val="uk-UA"/>
        </w:rPr>
        <w:t xml:space="preserve"> н</w:t>
      </w:r>
      <w:r w:rsidR="00F510A8">
        <w:rPr>
          <w:rFonts w:ascii="Arial" w:hAnsi="Arial" w:cs="Arial"/>
          <w:color w:val="000000"/>
          <w:lang w:val="uk-UA"/>
        </w:rPr>
        <w:t>а рівні країни, і впровадження активного фармакологічного</w:t>
      </w:r>
      <w:r w:rsidRPr="00430F4D">
        <w:rPr>
          <w:rFonts w:ascii="Arial" w:hAnsi="Arial" w:cs="Arial"/>
          <w:color w:val="000000"/>
          <w:lang w:val="uk-UA"/>
        </w:rPr>
        <w:t xml:space="preserve"> нагляд</w:t>
      </w:r>
      <w:r w:rsidR="00F510A8">
        <w:rPr>
          <w:rFonts w:ascii="Arial" w:hAnsi="Arial" w:cs="Arial"/>
          <w:color w:val="000000"/>
          <w:lang w:val="uk-UA"/>
        </w:rPr>
        <w:t>у</w:t>
      </w:r>
      <w:r w:rsidRPr="00430F4D">
        <w:rPr>
          <w:rFonts w:ascii="Arial" w:hAnsi="Arial" w:cs="Arial"/>
          <w:color w:val="000000"/>
          <w:lang w:val="uk-UA"/>
        </w:rPr>
        <w:t xml:space="preserve"> </w:t>
      </w:r>
      <w:r w:rsidR="00F510A8">
        <w:rPr>
          <w:rFonts w:ascii="Arial" w:hAnsi="Arial" w:cs="Arial"/>
          <w:color w:val="000000"/>
          <w:lang w:val="uk-UA"/>
        </w:rPr>
        <w:t>за</w:t>
      </w:r>
      <w:r w:rsidRPr="00430F4D">
        <w:rPr>
          <w:rFonts w:ascii="Arial" w:hAnsi="Arial" w:cs="Arial"/>
          <w:color w:val="000000"/>
          <w:lang w:val="uk-UA"/>
        </w:rPr>
        <w:t xml:space="preserve"> груп</w:t>
      </w:r>
      <w:r w:rsidR="00F510A8">
        <w:rPr>
          <w:rFonts w:ascii="Arial" w:hAnsi="Arial" w:cs="Arial"/>
          <w:color w:val="000000"/>
          <w:lang w:val="uk-UA"/>
        </w:rPr>
        <w:t>ами</w:t>
      </w:r>
      <w:r w:rsidR="00B3064A">
        <w:rPr>
          <w:rFonts w:ascii="Arial" w:hAnsi="Arial" w:cs="Arial"/>
          <w:color w:val="000000"/>
          <w:lang w:val="uk-UA"/>
        </w:rPr>
        <w:t xml:space="preserve"> пацієнтів, які отримували бедаквілін</w:t>
      </w:r>
      <w:r w:rsidRPr="00430F4D">
        <w:rPr>
          <w:rFonts w:ascii="Arial" w:hAnsi="Arial" w:cs="Arial"/>
          <w:color w:val="000000"/>
          <w:lang w:val="uk-UA"/>
        </w:rPr>
        <w:t xml:space="preserve">; </w:t>
      </w:r>
      <w:r w:rsidRPr="00430F4D">
        <w:rPr>
          <w:rFonts w:ascii="Arial" w:hAnsi="Arial" w:cs="Arial"/>
          <w:color w:val="000000"/>
          <w:vertAlign w:val="superscript"/>
          <w:lang w:val="uk-UA"/>
        </w:rPr>
        <w:t>22</w:t>
      </w:r>
    </w:p>
    <w:p w14:paraId="3D4670E2" w14:textId="77777777" w:rsidR="000543E6" w:rsidRPr="000543E6" w:rsidRDefault="000543E6" w:rsidP="009B78A2">
      <w:pPr>
        <w:autoSpaceDE w:val="0"/>
        <w:autoSpaceDN w:val="0"/>
        <w:adjustRightInd w:val="0"/>
        <w:spacing w:after="0" w:line="240" w:lineRule="auto"/>
        <w:jc w:val="both"/>
        <w:rPr>
          <w:rFonts w:ascii="Arial" w:hAnsi="Arial" w:cs="Arial"/>
          <w:color w:val="000000"/>
          <w:sz w:val="10"/>
          <w:szCs w:val="10"/>
          <w:lang w:val="uk-UA"/>
        </w:rPr>
      </w:pPr>
    </w:p>
    <w:p w14:paraId="526561A5" w14:textId="046F5494" w:rsidR="00E568A1" w:rsidRPr="009B78A2" w:rsidRDefault="00E568A1" w:rsidP="009B78A2">
      <w:pPr>
        <w:autoSpaceDE w:val="0"/>
        <w:autoSpaceDN w:val="0"/>
        <w:adjustRightInd w:val="0"/>
        <w:spacing w:after="0" w:line="240" w:lineRule="auto"/>
        <w:jc w:val="both"/>
        <w:rPr>
          <w:rFonts w:ascii="Arial" w:hAnsi="Arial" w:cs="Arial"/>
          <w:color w:val="000000"/>
          <w:lang w:val="uk-UA"/>
        </w:rPr>
      </w:pPr>
      <w:r w:rsidRPr="009B78A2">
        <w:rPr>
          <w:rFonts w:ascii="Arial" w:hAnsi="Arial" w:cs="Arial"/>
          <w:color w:val="000000"/>
          <w:lang w:val="uk-UA"/>
        </w:rPr>
        <w:t xml:space="preserve">• за відсутності спеціального </w:t>
      </w:r>
      <w:r w:rsidR="00502A7D">
        <w:rPr>
          <w:rFonts w:ascii="Arial" w:hAnsi="Arial" w:cs="Arial"/>
          <w:color w:val="000000"/>
          <w:lang w:val="uk-UA"/>
        </w:rPr>
        <w:t>тесту на медикаментозну чутливість (</w:t>
      </w:r>
      <w:r w:rsidR="00B3064A">
        <w:rPr>
          <w:rFonts w:ascii="Arial" w:hAnsi="Arial" w:cs="Arial"/>
          <w:color w:val="000000"/>
          <w:lang w:val="uk-UA"/>
        </w:rPr>
        <w:t>ТМЧ</w:t>
      </w:r>
      <w:r w:rsidR="00502A7D">
        <w:rPr>
          <w:rFonts w:ascii="Arial" w:hAnsi="Arial" w:cs="Arial"/>
          <w:color w:val="000000"/>
          <w:lang w:val="uk-UA"/>
        </w:rPr>
        <w:t>)</w:t>
      </w:r>
      <w:r w:rsidRPr="009B78A2">
        <w:rPr>
          <w:rFonts w:ascii="Arial" w:hAnsi="Arial" w:cs="Arial"/>
          <w:color w:val="000000"/>
          <w:lang w:val="uk-UA"/>
        </w:rPr>
        <w:t>, необхідно контролювати резистентність до бедаквіліну  шляхом оцінки мінімальної інгібуючої концентрації (MIC);</w:t>
      </w:r>
    </w:p>
    <w:p w14:paraId="165FE517" w14:textId="77777777" w:rsidR="000543E6" w:rsidRPr="000543E6" w:rsidRDefault="000543E6" w:rsidP="009B78A2">
      <w:pPr>
        <w:autoSpaceDE w:val="0"/>
        <w:autoSpaceDN w:val="0"/>
        <w:adjustRightInd w:val="0"/>
        <w:spacing w:after="0" w:line="240" w:lineRule="auto"/>
        <w:jc w:val="both"/>
        <w:rPr>
          <w:rFonts w:ascii="Arial" w:hAnsi="Arial" w:cs="Arial"/>
          <w:color w:val="000000"/>
          <w:sz w:val="10"/>
          <w:szCs w:val="10"/>
          <w:lang w:val="uk-UA"/>
        </w:rPr>
      </w:pPr>
    </w:p>
    <w:p w14:paraId="77E45747" w14:textId="77777777" w:rsidR="00E568A1" w:rsidRDefault="00E568A1" w:rsidP="009B78A2">
      <w:pPr>
        <w:autoSpaceDE w:val="0"/>
        <w:autoSpaceDN w:val="0"/>
        <w:adjustRightInd w:val="0"/>
        <w:spacing w:after="0" w:line="240" w:lineRule="auto"/>
        <w:jc w:val="both"/>
        <w:rPr>
          <w:rFonts w:ascii="Arial" w:hAnsi="Arial" w:cs="Arial"/>
          <w:color w:val="000000"/>
          <w:lang w:val="uk-UA"/>
        </w:rPr>
      </w:pPr>
      <w:r w:rsidRPr="009B78A2">
        <w:rPr>
          <w:rFonts w:ascii="Arial" w:hAnsi="Arial" w:cs="Arial"/>
          <w:color w:val="000000"/>
          <w:lang w:val="uk-UA"/>
        </w:rPr>
        <w:t>• резистентність до інших протитуберкульозних препаратів необхідно контролювати відповідно до рекомендацій ВООЗ.</w:t>
      </w:r>
    </w:p>
    <w:p w14:paraId="0DF53A47" w14:textId="77777777" w:rsidR="00F510A8" w:rsidRPr="000543E6" w:rsidRDefault="00F510A8" w:rsidP="0037724F">
      <w:pPr>
        <w:autoSpaceDE w:val="0"/>
        <w:autoSpaceDN w:val="0"/>
        <w:adjustRightInd w:val="0"/>
        <w:spacing w:after="0" w:line="240" w:lineRule="auto"/>
        <w:jc w:val="both"/>
        <w:rPr>
          <w:rFonts w:ascii="Arial" w:hAnsi="Arial" w:cs="Arial"/>
          <w:color w:val="000000"/>
          <w:sz w:val="20"/>
          <w:szCs w:val="20"/>
        </w:rPr>
      </w:pPr>
    </w:p>
    <w:p w14:paraId="13C97676"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713994">
        <w:rPr>
          <w:rFonts w:ascii="Arial" w:hAnsi="Arial" w:cs="Arial"/>
          <w:color w:val="000000"/>
        </w:rPr>
        <w:t>ЕГ також рекомендувала переглянути ці тимчасові рекомендації у 2015 році або раніше, якщо з'являться додаткові важливі дані, що розширюють знання щодо безпеки, токсичності та ефективності бедаквіліну (наприклад, дослідження після проведення маркетингу, поточні дослідження та інші дослідження).</w:t>
      </w:r>
    </w:p>
    <w:p w14:paraId="32D236FA" w14:textId="77777777" w:rsidR="00E568A1" w:rsidRDefault="00E568A1" w:rsidP="0037724F">
      <w:pPr>
        <w:autoSpaceDE w:val="0"/>
        <w:autoSpaceDN w:val="0"/>
        <w:adjustRightInd w:val="0"/>
        <w:spacing w:after="0" w:line="240" w:lineRule="auto"/>
        <w:jc w:val="both"/>
        <w:rPr>
          <w:rFonts w:ascii="Arial" w:hAnsi="Arial" w:cs="Arial"/>
          <w:color w:val="000000"/>
          <w:lang w:val="uk-UA"/>
        </w:rPr>
      </w:pPr>
    </w:p>
    <w:p w14:paraId="5EA05371" w14:textId="77777777" w:rsidR="00AB4F35" w:rsidRDefault="00AB4F35" w:rsidP="009B51D9">
      <w:pPr>
        <w:autoSpaceDE w:val="0"/>
        <w:autoSpaceDN w:val="0"/>
        <w:adjustRightInd w:val="0"/>
        <w:spacing w:after="0" w:line="240" w:lineRule="auto"/>
        <w:jc w:val="both"/>
        <w:outlineLvl w:val="0"/>
        <w:rPr>
          <w:rFonts w:ascii="Arial" w:hAnsi="Arial" w:cs="Arial"/>
          <w:b/>
          <w:bCs/>
          <w:color w:val="6A2041"/>
          <w:sz w:val="28"/>
          <w:szCs w:val="28"/>
          <w:lang w:val="uk-UA"/>
        </w:rPr>
      </w:pPr>
    </w:p>
    <w:p w14:paraId="47AE0266" w14:textId="77777777" w:rsidR="00AB4F35" w:rsidRDefault="00AB4F35" w:rsidP="009B51D9">
      <w:pPr>
        <w:autoSpaceDE w:val="0"/>
        <w:autoSpaceDN w:val="0"/>
        <w:adjustRightInd w:val="0"/>
        <w:spacing w:after="0" w:line="240" w:lineRule="auto"/>
        <w:jc w:val="both"/>
        <w:outlineLvl w:val="0"/>
        <w:rPr>
          <w:rFonts w:ascii="Arial" w:hAnsi="Arial" w:cs="Arial"/>
          <w:b/>
          <w:bCs/>
          <w:color w:val="6A2041"/>
          <w:sz w:val="28"/>
          <w:szCs w:val="28"/>
          <w:lang w:val="uk-UA"/>
        </w:rPr>
      </w:pPr>
    </w:p>
    <w:p w14:paraId="7198BA2A" w14:textId="77777777" w:rsidR="00DF207F" w:rsidRPr="000326B3" w:rsidRDefault="00DF207F" w:rsidP="009B51D9">
      <w:pPr>
        <w:autoSpaceDE w:val="0"/>
        <w:autoSpaceDN w:val="0"/>
        <w:adjustRightInd w:val="0"/>
        <w:spacing w:after="0" w:line="240" w:lineRule="auto"/>
        <w:jc w:val="both"/>
        <w:outlineLvl w:val="0"/>
        <w:rPr>
          <w:rFonts w:ascii="Arial" w:hAnsi="Arial" w:cs="Arial"/>
          <w:b/>
          <w:bCs/>
          <w:color w:val="C00000"/>
          <w:sz w:val="28"/>
          <w:szCs w:val="28"/>
          <w:lang w:val="uk-UA"/>
        </w:rPr>
      </w:pPr>
    </w:p>
    <w:p w14:paraId="57B055A2" w14:textId="77777777" w:rsidR="00E568A1" w:rsidRPr="000326B3" w:rsidRDefault="00E568A1" w:rsidP="009B51D9">
      <w:pPr>
        <w:autoSpaceDE w:val="0"/>
        <w:autoSpaceDN w:val="0"/>
        <w:adjustRightInd w:val="0"/>
        <w:spacing w:after="0" w:line="240" w:lineRule="auto"/>
        <w:jc w:val="both"/>
        <w:outlineLvl w:val="0"/>
        <w:rPr>
          <w:rFonts w:ascii="Arial" w:hAnsi="Arial" w:cs="Arial"/>
          <w:b/>
          <w:bCs/>
          <w:color w:val="C00000"/>
          <w:sz w:val="28"/>
          <w:szCs w:val="28"/>
          <w:lang w:val="uk-UA"/>
        </w:rPr>
      </w:pPr>
      <w:r w:rsidRPr="000326B3">
        <w:rPr>
          <w:rFonts w:ascii="Arial" w:hAnsi="Arial" w:cs="Arial"/>
          <w:b/>
          <w:bCs/>
          <w:color w:val="C00000"/>
          <w:sz w:val="28"/>
          <w:szCs w:val="28"/>
          <w:lang w:val="uk-UA"/>
        </w:rPr>
        <w:t xml:space="preserve">5.3. Результати дослідження </w:t>
      </w:r>
    </w:p>
    <w:p w14:paraId="22D213FA" w14:textId="77777777" w:rsidR="00410EEF" w:rsidRPr="0019210C" w:rsidRDefault="00410EEF" w:rsidP="0037724F">
      <w:pPr>
        <w:autoSpaceDE w:val="0"/>
        <w:autoSpaceDN w:val="0"/>
        <w:adjustRightInd w:val="0"/>
        <w:spacing w:after="0" w:line="240" w:lineRule="auto"/>
        <w:jc w:val="both"/>
        <w:rPr>
          <w:rFonts w:ascii="Arial" w:hAnsi="Arial" w:cs="Arial"/>
          <w:color w:val="000000"/>
          <w:sz w:val="24"/>
          <w:szCs w:val="24"/>
          <w:lang w:val="uk-UA"/>
        </w:rPr>
      </w:pPr>
    </w:p>
    <w:p w14:paraId="7055156A" w14:textId="7B6E7477" w:rsidR="00E568A1" w:rsidRDefault="00E568A1" w:rsidP="0037724F">
      <w:pPr>
        <w:autoSpaceDE w:val="0"/>
        <w:autoSpaceDN w:val="0"/>
        <w:adjustRightInd w:val="0"/>
        <w:spacing w:after="0" w:line="240" w:lineRule="auto"/>
        <w:jc w:val="both"/>
        <w:rPr>
          <w:rFonts w:ascii="Arial" w:hAnsi="Arial" w:cs="Arial"/>
          <w:color w:val="000000"/>
          <w:lang w:val="uk-UA"/>
        </w:rPr>
      </w:pPr>
      <w:r w:rsidRPr="0019210C">
        <w:rPr>
          <w:rFonts w:ascii="Arial" w:hAnsi="Arial" w:cs="Arial"/>
          <w:color w:val="000000"/>
          <w:lang w:val="uk-UA"/>
        </w:rPr>
        <w:t xml:space="preserve">ЕГ рішуче підтримала необхідність прискорення випробувань Фази </w:t>
      </w:r>
      <w:r w:rsidRPr="0019210C">
        <w:rPr>
          <w:rFonts w:ascii="Arial" w:hAnsi="Arial" w:cs="Arial"/>
          <w:color w:val="000000"/>
          <w:lang w:val="en-US"/>
        </w:rPr>
        <w:t>III</w:t>
      </w:r>
      <w:r w:rsidRPr="0019210C">
        <w:rPr>
          <w:rFonts w:ascii="Arial" w:hAnsi="Arial" w:cs="Arial"/>
          <w:color w:val="000000"/>
          <w:lang w:val="uk-UA"/>
        </w:rPr>
        <w:t xml:space="preserve"> для розширення знань </w:t>
      </w:r>
      <w:r w:rsidR="00410EEF">
        <w:rPr>
          <w:rFonts w:ascii="Arial" w:hAnsi="Arial" w:cs="Arial"/>
          <w:color w:val="000000"/>
          <w:lang w:val="uk-UA"/>
        </w:rPr>
        <w:t>щодо безпечності та ефективності</w:t>
      </w:r>
      <w:r w:rsidRPr="0019210C">
        <w:rPr>
          <w:rFonts w:ascii="Arial" w:hAnsi="Arial" w:cs="Arial"/>
          <w:color w:val="000000"/>
          <w:lang w:val="uk-UA"/>
        </w:rPr>
        <w:t xml:space="preserve"> препарату бедаквіліну, при цьому особлива увага приділяється смертності (включаючи причини смерті) при лікуванні </w:t>
      </w:r>
      <w:r w:rsidR="009B51D9">
        <w:rPr>
          <w:rFonts w:ascii="Arial" w:hAnsi="Arial" w:cs="Arial"/>
          <w:color w:val="000000"/>
          <w:lang w:val="uk-UA"/>
        </w:rPr>
        <w:t>МР ТБ</w:t>
      </w:r>
      <w:r w:rsidRPr="0019210C">
        <w:rPr>
          <w:rFonts w:ascii="Arial" w:hAnsi="Arial" w:cs="Arial"/>
          <w:color w:val="000000"/>
          <w:lang w:val="uk-UA"/>
        </w:rPr>
        <w:t>. ЕГ виявила подальші недоліки досліджень, в тому числі:</w:t>
      </w:r>
    </w:p>
    <w:p w14:paraId="0B237B2C" w14:textId="77777777" w:rsidR="00410EEF" w:rsidRPr="00410EEF" w:rsidRDefault="00410EEF" w:rsidP="0037724F">
      <w:pPr>
        <w:autoSpaceDE w:val="0"/>
        <w:autoSpaceDN w:val="0"/>
        <w:adjustRightInd w:val="0"/>
        <w:spacing w:after="0" w:line="240" w:lineRule="auto"/>
        <w:jc w:val="both"/>
        <w:rPr>
          <w:rFonts w:ascii="Arial" w:hAnsi="Arial" w:cs="Arial"/>
          <w:color w:val="000000"/>
          <w:sz w:val="12"/>
          <w:szCs w:val="12"/>
          <w:lang w:val="uk-UA"/>
        </w:rPr>
      </w:pPr>
    </w:p>
    <w:p w14:paraId="6B38FD9B" w14:textId="7AC8E1E2" w:rsidR="00E568A1" w:rsidRDefault="00E568A1" w:rsidP="0037724F">
      <w:pPr>
        <w:autoSpaceDE w:val="0"/>
        <w:autoSpaceDN w:val="0"/>
        <w:adjustRightInd w:val="0"/>
        <w:spacing w:after="0" w:line="240" w:lineRule="auto"/>
        <w:jc w:val="both"/>
        <w:rPr>
          <w:rFonts w:ascii="Arial" w:hAnsi="Arial" w:cs="Arial"/>
          <w:color w:val="000000"/>
          <w:lang w:val="uk-UA"/>
        </w:rPr>
      </w:pPr>
      <w:r w:rsidRPr="0019210C">
        <w:rPr>
          <w:rFonts w:ascii="Arial" w:hAnsi="Arial" w:cs="Arial"/>
          <w:color w:val="000000"/>
          <w:lang w:val="uk-UA"/>
        </w:rPr>
        <w:t xml:space="preserve">• </w:t>
      </w:r>
      <w:r w:rsidR="00410EEF">
        <w:rPr>
          <w:rFonts w:ascii="Arial" w:hAnsi="Arial" w:cs="Arial"/>
          <w:color w:val="000000"/>
          <w:lang w:val="uk-UA"/>
        </w:rPr>
        <w:t xml:space="preserve"> </w:t>
      </w:r>
      <w:r w:rsidRPr="0019210C">
        <w:rPr>
          <w:rFonts w:ascii="Arial" w:hAnsi="Arial" w:cs="Arial"/>
          <w:color w:val="000000"/>
          <w:lang w:val="uk-UA"/>
        </w:rPr>
        <w:t>розробка надійного для бедаквіліну</w:t>
      </w:r>
      <w:r w:rsidR="00502A7D">
        <w:rPr>
          <w:rFonts w:ascii="Arial" w:hAnsi="Arial" w:cs="Arial"/>
          <w:color w:val="000000"/>
          <w:lang w:val="uk-UA"/>
        </w:rPr>
        <w:t xml:space="preserve"> тесту на медикаментозну чу</w:t>
      </w:r>
      <w:r w:rsidRPr="0019210C">
        <w:rPr>
          <w:rFonts w:ascii="Arial" w:hAnsi="Arial" w:cs="Arial"/>
          <w:color w:val="000000"/>
          <w:lang w:val="uk-UA"/>
        </w:rPr>
        <w:t>тливість;</w:t>
      </w:r>
    </w:p>
    <w:p w14:paraId="04660D1C" w14:textId="77777777" w:rsidR="00410EEF" w:rsidRPr="00410EEF" w:rsidRDefault="00410EEF" w:rsidP="0037724F">
      <w:pPr>
        <w:autoSpaceDE w:val="0"/>
        <w:autoSpaceDN w:val="0"/>
        <w:adjustRightInd w:val="0"/>
        <w:spacing w:after="0" w:line="240" w:lineRule="auto"/>
        <w:jc w:val="both"/>
        <w:rPr>
          <w:rFonts w:ascii="Arial" w:hAnsi="Arial" w:cs="Arial"/>
          <w:color w:val="000000"/>
          <w:sz w:val="12"/>
          <w:szCs w:val="12"/>
          <w:lang w:val="uk-UA"/>
        </w:rPr>
      </w:pPr>
    </w:p>
    <w:p w14:paraId="5A11B0EE" w14:textId="7A46F9FE" w:rsidR="00E568A1" w:rsidRDefault="00E568A1" w:rsidP="0037724F">
      <w:pPr>
        <w:autoSpaceDE w:val="0"/>
        <w:autoSpaceDN w:val="0"/>
        <w:adjustRightInd w:val="0"/>
        <w:spacing w:after="0" w:line="240" w:lineRule="auto"/>
        <w:jc w:val="both"/>
        <w:rPr>
          <w:rFonts w:ascii="Arial" w:hAnsi="Arial" w:cs="Arial"/>
          <w:color w:val="000000"/>
          <w:lang w:val="uk-UA"/>
        </w:rPr>
      </w:pPr>
      <w:r w:rsidRPr="00DB61D3">
        <w:rPr>
          <w:rFonts w:ascii="Arial" w:hAnsi="Arial" w:cs="Arial"/>
          <w:color w:val="000000"/>
          <w:lang w:val="uk-UA"/>
        </w:rPr>
        <w:t>• фармакокінетика, дослідження безпечност</w:t>
      </w:r>
      <w:r w:rsidR="00DC52EF">
        <w:rPr>
          <w:rFonts w:ascii="Arial" w:hAnsi="Arial" w:cs="Arial"/>
          <w:color w:val="000000"/>
          <w:lang w:val="uk-UA"/>
        </w:rPr>
        <w:t xml:space="preserve">і та ефективності у конкретних </w:t>
      </w:r>
      <w:r w:rsidR="00561C8C">
        <w:rPr>
          <w:rFonts w:ascii="Arial" w:hAnsi="Arial" w:cs="Arial"/>
          <w:color w:val="000000"/>
          <w:lang w:val="uk-UA"/>
        </w:rPr>
        <w:t>групах населення (</w:t>
      </w:r>
      <w:r w:rsidRPr="00DB61D3">
        <w:rPr>
          <w:rFonts w:ascii="Arial" w:hAnsi="Arial" w:cs="Arial"/>
          <w:color w:val="000000"/>
          <w:lang w:val="uk-UA"/>
        </w:rPr>
        <w:t>діти</w:t>
      </w:r>
      <w:r w:rsidR="00561C8C">
        <w:rPr>
          <w:rFonts w:ascii="Arial" w:hAnsi="Arial" w:cs="Arial"/>
          <w:color w:val="000000"/>
          <w:lang w:val="uk-UA"/>
        </w:rPr>
        <w:t xml:space="preserve"> </w:t>
      </w:r>
      <w:r w:rsidR="00561C8C">
        <w:rPr>
          <w:rFonts w:ascii="Arial" w:hAnsi="Arial" w:cs="Arial"/>
          <w:color w:val="000000"/>
          <w:lang w:val="en-US"/>
        </w:rPr>
        <w:t xml:space="preserve">&lt; </w:t>
      </w:r>
      <w:r w:rsidR="00561C8C">
        <w:rPr>
          <w:rFonts w:ascii="Arial" w:hAnsi="Arial" w:cs="Arial"/>
          <w:color w:val="000000"/>
          <w:lang w:val="uk-UA"/>
        </w:rPr>
        <w:t xml:space="preserve">6 років, діти &gt; 6 </w:t>
      </w:r>
      <w:r w:rsidRPr="00DB61D3">
        <w:rPr>
          <w:rFonts w:ascii="Arial" w:hAnsi="Arial" w:cs="Arial"/>
          <w:color w:val="000000"/>
          <w:lang w:val="uk-UA"/>
        </w:rPr>
        <w:t>, пацієнти з ВІЛ, особливо ті, хто отримує антиретровірусну терапію (АРТ), споживачів алкоголю та наркотичних речовин, людей п</w:t>
      </w:r>
      <w:r w:rsidR="00561C8C">
        <w:rPr>
          <w:rFonts w:ascii="Arial" w:hAnsi="Arial" w:cs="Arial"/>
          <w:color w:val="000000"/>
          <w:lang w:val="uk-UA"/>
        </w:rPr>
        <w:t>охилого віку, вагітних жінок або жінок, які</w:t>
      </w:r>
      <w:r w:rsidRPr="00DB61D3">
        <w:rPr>
          <w:rFonts w:ascii="Arial" w:hAnsi="Arial" w:cs="Arial"/>
          <w:color w:val="000000"/>
          <w:lang w:val="uk-UA"/>
        </w:rPr>
        <w:t xml:space="preserve"> годують</w:t>
      </w:r>
      <w:r w:rsidR="00561C8C">
        <w:rPr>
          <w:rFonts w:ascii="Arial" w:hAnsi="Arial" w:cs="Arial"/>
          <w:color w:val="000000"/>
          <w:lang w:val="uk-UA"/>
        </w:rPr>
        <w:t xml:space="preserve"> грудьми</w:t>
      </w:r>
      <w:r w:rsidRPr="00DB61D3">
        <w:rPr>
          <w:rFonts w:ascii="Arial" w:hAnsi="Arial" w:cs="Arial"/>
          <w:color w:val="000000"/>
          <w:lang w:val="uk-UA"/>
        </w:rPr>
        <w:t>, людей з позалегеневим туберкульозом, люди з діабетом);</w:t>
      </w:r>
    </w:p>
    <w:p w14:paraId="73BD786B" w14:textId="77777777" w:rsidR="00410EEF" w:rsidRPr="00410EEF" w:rsidRDefault="00410EEF" w:rsidP="0037724F">
      <w:pPr>
        <w:autoSpaceDE w:val="0"/>
        <w:autoSpaceDN w:val="0"/>
        <w:adjustRightInd w:val="0"/>
        <w:spacing w:after="0" w:line="240" w:lineRule="auto"/>
        <w:jc w:val="both"/>
        <w:rPr>
          <w:rFonts w:ascii="Arial" w:hAnsi="Arial" w:cs="Arial"/>
          <w:color w:val="000000"/>
          <w:sz w:val="12"/>
          <w:szCs w:val="12"/>
          <w:lang w:val="uk-UA"/>
        </w:rPr>
      </w:pPr>
    </w:p>
    <w:p w14:paraId="46C19888" w14:textId="77777777" w:rsidR="00E568A1" w:rsidRDefault="00E568A1" w:rsidP="0037724F">
      <w:pPr>
        <w:autoSpaceDE w:val="0"/>
        <w:autoSpaceDN w:val="0"/>
        <w:adjustRightInd w:val="0"/>
        <w:spacing w:after="0" w:line="240" w:lineRule="auto"/>
        <w:jc w:val="both"/>
        <w:rPr>
          <w:rFonts w:ascii="Arial" w:hAnsi="Arial" w:cs="Arial"/>
          <w:color w:val="000000"/>
          <w:lang w:val="uk-UA"/>
        </w:rPr>
      </w:pPr>
      <w:r w:rsidRPr="00DB61D3">
        <w:rPr>
          <w:rFonts w:ascii="Arial" w:hAnsi="Arial" w:cs="Arial"/>
          <w:color w:val="000000"/>
          <w:lang w:val="uk-UA"/>
        </w:rPr>
        <w:t>• дослідження безпеки, включаючи тип, частоту та ступінь тяжкості побічних наслідків (короткотермінові та довгострокові) та смертність (включаючи причину смерті);</w:t>
      </w:r>
    </w:p>
    <w:p w14:paraId="0C057665" w14:textId="77777777" w:rsidR="00410EEF" w:rsidRPr="00410EEF" w:rsidRDefault="00410EEF" w:rsidP="009C08C1">
      <w:pPr>
        <w:autoSpaceDE w:val="0"/>
        <w:autoSpaceDN w:val="0"/>
        <w:adjustRightInd w:val="0"/>
        <w:spacing w:after="0" w:line="240" w:lineRule="auto"/>
        <w:jc w:val="both"/>
        <w:rPr>
          <w:rFonts w:ascii="Arial" w:hAnsi="Arial" w:cs="Arial"/>
          <w:color w:val="000000"/>
          <w:sz w:val="12"/>
          <w:szCs w:val="12"/>
          <w:lang w:val="uk-UA"/>
        </w:rPr>
      </w:pPr>
    </w:p>
    <w:p w14:paraId="489BC420" w14:textId="77777777" w:rsidR="00E568A1" w:rsidRPr="009C08C1" w:rsidRDefault="00E568A1" w:rsidP="009C08C1">
      <w:pPr>
        <w:autoSpaceDE w:val="0"/>
        <w:autoSpaceDN w:val="0"/>
        <w:adjustRightInd w:val="0"/>
        <w:spacing w:after="0" w:line="240" w:lineRule="auto"/>
        <w:jc w:val="both"/>
        <w:rPr>
          <w:rFonts w:ascii="Arial" w:hAnsi="Arial" w:cs="Arial"/>
          <w:color w:val="000000"/>
          <w:lang w:val="uk-UA"/>
        </w:rPr>
      </w:pPr>
      <w:r w:rsidRPr="009C08C1">
        <w:rPr>
          <w:rFonts w:ascii="Arial" w:hAnsi="Arial" w:cs="Arial"/>
          <w:color w:val="000000"/>
          <w:lang w:val="uk-UA"/>
        </w:rPr>
        <w:t>• взаємодія між лікарськими засобами, в тому числі з іншими існуючими та щойно розробленими протитуберкульозними препаратами та АРТ;</w:t>
      </w:r>
    </w:p>
    <w:p w14:paraId="1ABFEBC0" w14:textId="77777777" w:rsidR="00410EEF" w:rsidRPr="00410EEF" w:rsidRDefault="00410EEF" w:rsidP="009C08C1">
      <w:pPr>
        <w:autoSpaceDE w:val="0"/>
        <w:autoSpaceDN w:val="0"/>
        <w:adjustRightInd w:val="0"/>
        <w:spacing w:after="0" w:line="240" w:lineRule="auto"/>
        <w:jc w:val="both"/>
        <w:rPr>
          <w:rFonts w:ascii="Arial" w:hAnsi="Arial" w:cs="Arial"/>
          <w:color w:val="000000"/>
          <w:sz w:val="12"/>
          <w:szCs w:val="12"/>
          <w:lang w:val="uk-UA"/>
        </w:rPr>
      </w:pPr>
    </w:p>
    <w:p w14:paraId="4FC3DC59" w14:textId="77777777" w:rsidR="00E568A1" w:rsidRDefault="00E568A1" w:rsidP="009C08C1">
      <w:pPr>
        <w:autoSpaceDE w:val="0"/>
        <w:autoSpaceDN w:val="0"/>
        <w:adjustRightInd w:val="0"/>
        <w:spacing w:after="0" w:line="240" w:lineRule="auto"/>
        <w:jc w:val="both"/>
        <w:rPr>
          <w:rFonts w:ascii="Arial" w:hAnsi="Arial" w:cs="Arial"/>
          <w:color w:val="000000"/>
          <w:lang w:val="uk-UA"/>
        </w:rPr>
      </w:pPr>
      <w:r w:rsidRPr="009C08C1">
        <w:rPr>
          <w:rFonts w:ascii="Arial" w:hAnsi="Arial" w:cs="Arial"/>
          <w:color w:val="000000"/>
          <w:lang w:val="uk-UA"/>
        </w:rPr>
        <w:t xml:space="preserve">• </w:t>
      </w:r>
      <w:r w:rsidR="00410EEF">
        <w:rPr>
          <w:rFonts w:ascii="Arial" w:hAnsi="Arial" w:cs="Arial"/>
          <w:color w:val="000000"/>
          <w:lang w:val="uk-UA"/>
        </w:rPr>
        <w:t xml:space="preserve"> </w:t>
      </w:r>
      <w:r w:rsidRPr="009C08C1">
        <w:rPr>
          <w:rFonts w:ascii="Arial" w:hAnsi="Arial" w:cs="Arial"/>
          <w:color w:val="000000"/>
          <w:lang w:val="uk-UA"/>
        </w:rPr>
        <w:t>придбання резистентності до бедаквіліну та інших ТБ препаратів;</w:t>
      </w:r>
    </w:p>
    <w:p w14:paraId="27E913A2" w14:textId="77777777" w:rsidR="00410EEF" w:rsidRPr="00410EEF" w:rsidRDefault="00410EEF" w:rsidP="0037724F">
      <w:pPr>
        <w:autoSpaceDE w:val="0"/>
        <w:autoSpaceDN w:val="0"/>
        <w:adjustRightInd w:val="0"/>
        <w:spacing w:after="0" w:line="240" w:lineRule="auto"/>
        <w:jc w:val="both"/>
        <w:rPr>
          <w:rFonts w:ascii="Arial" w:hAnsi="Arial" w:cs="Arial"/>
          <w:color w:val="000000"/>
          <w:sz w:val="12"/>
          <w:szCs w:val="12"/>
          <w:lang w:val="uk-UA"/>
        </w:rPr>
      </w:pPr>
    </w:p>
    <w:p w14:paraId="33A2E467" w14:textId="77777777" w:rsidR="00E568A1" w:rsidRDefault="00410EEF" w:rsidP="0037724F">
      <w:pPr>
        <w:autoSpaceDE w:val="0"/>
        <w:autoSpaceDN w:val="0"/>
        <w:adjustRightInd w:val="0"/>
        <w:spacing w:after="0" w:line="240" w:lineRule="auto"/>
        <w:jc w:val="both"/>
        <w:rPr>
          <w:rFonts w:ascii="Arial" w:hAnsi="Arial" w:cs="Arial"/>
          <w:color w:val="000000"/>
          <w:lang w:val="uk-UA"/>
        </w:rPr>
      </w:pPr>
      <w:r>
        <w:rPr>
          <w:rFonts w:ascii="Arial" w:hAnsi="Arial" w:cs="Arial"/>
          <w:color w:val="000000"/>
          <w:lang w:val="uk-UA"/>
        </w:rPr>
        <w:t xml:space="preserve">• </w:t>
      </w:r>
      <w:r w:rsidR="00E568A1" w:rsidRPr="009C08C1">
        <w:rPr>
          <w:rFonts w:ascii="Arial" w:hAnsi="Arial" w:cs="Arial"/>
          <w:color w:val="000000"/>
          <w:lang w:val="uk-UA"/>
        </w:rPr>
        <w:t>визначення оптимальної комбінації лікарських засобів, включаючи бедаквілін, та визначення оптимальної тривалості і дозування лікування;</w:t>
      </w:r>
    </w:p>
    <w:p w14:paraId="0B20FFE3" w14:textId="77777777" w:rsidR="00410EEF" w:rsidRPr="00410EEF" w:rsidRDefault="00410EEF" w:rsidP="009C08C1">
      <w:pPr>
        <w:autoSpaceDE w:val="0"/>
        <w:autoSpaceDN w:val="0"/>
        <w:adjustRightInd w:val="0"/>
        <w:spacing w:after="0" w:line="240" w:lineRule="auto"/>
        <w:jc w:val="both"/>
        <w:rPr>
          <w:rFonts w:ascii="Arial" w:hAnsi="Arial" w:cs="Arial"/>
          <w:color w:val="000000"/>
          <w:sz w:val="12"/>
          <w:szCs w:val="12"/>
          <w:lang w:val="uk-UA"/>
        </w:rPr>
      </w:pPr>
    </w:p>
    <w:p w14:paraId="0C057159" w14:textId="77777777" w:rsidR="00E568A1" w:rsidRPr="009C08C1" w:rsidRDefault="00E568A1" w:rsidP="009C08C1">
      <w:pPr>
        <w:autoSpaceDE w:val="0"/>
        <w:autoSpaceDN w:val="0"/>
        <w:adjustRightInd w:val="0"/>
        <w:spacing w:after="0" w:line="240" w:lineRule="auto"/>
        <w:jc w:val="both"/>
        <w:rPr>
          <w:rFonts w:ascii="Arial" w:hAnsi="Arial" w:cs="Arial"/>
          <w:color w:val="000000"/>
          <w:lang w:val="uk-UA"/>
        </w:rPr>
      </w:pPr>
      <w:r w:rsidRPr="009C08C1">
        <w:rPr>
          <w:rFonts w:ascii="Arial" w:hAnsi="Arial" w:cs="Arial"/>
          <w:color w:val="000000"/>
          <w:lang w:val="uk-UA"/>
        </w:rPr>
        <w:t>• переносимість ліків пацієнтом;</w:t>
      </w:r>
    </w:p>
    <w:p w14:paraId="47DA1A8E" w14:textId="77777777" w:rsidR="00410EEF" w:rsidRPr="00410EEF" w:rsidRDefault="00410EEF" w:rsidP="009C08C1">
      <w:pPr>
        <w:autoSpaceDE w:val="0"/>
        <w:autoSpaceDN w:val="0"/>
        <w:adjustRightInd w:val="0"/>
        <w:spacing w:after="0" w:line="240" w:lineRule="auto"/>
        <w:jc w:val="both"/>
        <w:rPr>
          <w:rFonts w:ascii="Arial" w:hAnsi="Arial" w:cs="Arial"/>
          <w:color w:val="000000"/>
          <w:sz w:val="12"/>
          <w:szCs w:val="12"/>
          <w:lang w:val="uk-UA"/>
        </w:rPr>
      </w:pPr>
    </w:p>
    <w:p w14:paraId="15398E68" w14:textId="5FEAFC26" w:rsidR="00E568A1" w:rsidRDefault="00E568A1" w:rsidP="009C08C1">
      <w:pPr>
        <w:autoSpaceDE w:val="0"/>
        <w:autoSpaceDN w:val="0"/>
        <w:adjustRightInd w:val="0"/>
        <w:spacing w:after="0" w:line="240" w:lineRule="auto"/>
        <w:jc w:val="both"/>
        <w:rPr>
          <w:rFonts w:ascii="Arial" w:hAnsi="Arial" w:cs="Arial"/>
          <w:color w:val="000000"/>
          <w:lang w:val="uk-UA"/>
        </w:rPr>
      </w:pPr>
      <w:r w:rsidRPr="009C08C1">
        <w:rPr>
          <w:rFonts w:ascii="Arial" w:hAnsi="Arial" w:cs="Arial"/>
          <w:color w:val="000000"/>
          <w:lang w:val="uk-UA"/>
        </w:rPr>
        <w:t>• відповідні</w:t>
      </w:r>
      <w:r w:rsidR="00561C8C">
        <w:rPr>
          <w:rFonts w:ascii="Arial" w:hAnsi="Arial" w:cs="Arial"/>
          <w:color w:val="000000"/>
          <w:lang w:val="uk-UA"/>
        </w:rPr>
        <w:t xml:space="preserve"> дослідження економічної ефективності</w:t>
      </w:r>
      <w:r w:rsidRPr="009C08C1">
        <w:rPr>
          <w:rFonts w:ascii="Arial" w:hAnsi="Arial" w:cs="Arial"/>
          <w:color w:val="000000"/>
          <w:lang w:val="uk-UA"/>
        </w:rPr>
        <w:t>.</w:t>
      </w:r>
    </w:p>
    <w:p w14:paraId="5C18F6EF" w14:textId="77777777" w:rsidR="00E568A1" w:rsidRPr="00713994" w:rsidRDefault="00E568A1" w:rsidP="009C08C1">
      <w:pPr>
        <w:autoSpaceDE w:val="0"/>
        <w:autoSpaceDN w:val="0"/>
        <w:adjustRightInd w:val="0"/>
        <w:spacing w:after="0" w:line="240" w:lineRule="auto"/>
        <w:jc w:val="both"/>
        <w:rPr>
          <w:rFonts w:ascii="Arial" w:hAnsi="Arial" w:cs="Arial"/>
          <w:color w:val="000000" w:themeColor="text1"/>
          <w:lang w:val="uk-UA"/>
        </w:rPr>
      </w:pPr>
    </w:p>
    <w:p w14:paraId="44C60FC8" w14:textId="77777777" w:rsidR="000543E6" w:rsidRPr="00713994" w:rsidRDefault="000543E6" w:rsidP="009C08C1">
      <w:pPr>
        <w:autoSpaceDE w:val="0"/>
        <w:autoSpaceDN w:val="0"/>
        <w:adjustRightInd w:val="0"/>
        <w:spacing w:after="0" w:line="240" w:lineRule="auto"/>
        <w:jc w:val="both"/>
        <w:rPr>
          <w:rFonts w:ascii="Arial" w:hAnsi="Arial" w:cs="Arial"/>
          <w:color w:val="000000" w:themeColor="text1"/>
          <w:lang w:val="uk-UA"/>
        </w:rPr>
      </w:pPr>
    </w:p>
    <w:p w14:paraId="7D584724" w14:textId="77777777" w:rsidR="000543E6" w:rsidRPr="00713994" w:rsidRDefault="000543E6" w:rsidP="009C08C1">
      <w:pPr>
        <w:autoSpaceDE w:val="0"/>
        <w:autoSpaceDN w:val="0"/>
        <w:adjustRightInd w:val="0"/>
        <w:spacing w:after="0" w:line="240" w:lineRule="auto"/>
        <w:jc w:val="both"/>
        <w:rPr>
          <w:rFonts w:ascii="Arial" w:hAnsi="Arial" w:cs="Arial"/>
          <w:color w:val="000000" w:themeColor="text1"/>
          <w:lang w:val="uk-UA"/>
        </w:rPr>
      </w:pPr>
    </w:p>
    <w:p w14:paraId="3EAE27F7" w14:textId="77777777" w:rsidR="000543E6" w:rsidRDefault="000543E6" w:rsidP="009C08C1">
      <w:pPr>
        <w:autoSpaceDE w:val="0"/>
        <w:autoSpaceDN w:val="0"/>
        <w:adjustRightInd w:val="0"/>
        <w:spacing w:after="0" w:line="240" w:lineRule="auto"/>
        <w:jc w:val="both"/>
        <w:rPr>
          <w:rFonts w:ascii="Arial" w:hAnsi="Arial" w:cs="Arial"/>
          <w:color w:val="000000" w:themeColor="text1"/>
          <w:lang w:val="uk-UA"/>
        </w:rPr>
      </w:pPr>
    </w:p>
    <w:p w14:paraId="151DEF04"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386722C7"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67ADFA37"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18650C97"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77A0B2F3"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6AFE1A06" w14:textId="77777777" w:rsidR="002D30D3" w:rsidRDefault="002D30D3" w:rsidP="009C08C1">
      <w:pPr>
        <w:autoSpaceDE w:val="0"/>
        <w:autoSpaceDN w:val="0"/>
        <w:adjustRightInd w:val="0"/>
        <w:spacing w:after="0" w:line="240" w:lineRule="auto"/>
        <w:jc w:val="both"/>
        <w:rPr>
          <w:rFonts w:ascii="Arial" w:hAnsi="Arial" w:cs="Arial"/>
          <w:color w:val="000000" w:themeColor="text1"/>
          <w:lang w:val="uk-UA"/>
        </w:rPr>
      </w:pPr>
    </w:p>
    <w:p w14:paraId="31393ADD" w14:textId="77777777" w:rsidR="002D30D3" w:rsidRPr="00713994" w:rsidRDefault="002D30D3" w:rsidP="009C08C1">
      <w:pPr>
        <w:autoSpaceDE w:val="0"/>
        <w:autoSpaceDN w:val="0"/>
        <w:adjustRightInd w:val="0"/>
        <w:spacing w:after="0" w:line="240" w:lineRule="auto"/>
        <w:jc w:val="both"/>
        <w:rPr>
          <w:rFonts w:ascii="Arial" w:hAnsi="Arial" w:cs="Arial"/>
          <w:color w:val="000000" w:themeColor="text1"/>
          <w:lang w:val="uk-UA"/>
        </w:rPr>
      </w:pPr>
    </w:p>
    <w:p w14:paraId="3A3FFA2F" w14:textId="77777777" w:rsidR="000543E6" w:rsidRPr="00713994" w:rsidRDefault="000543E6" w:rsidP="009C08C1">
      <w:pPr>
        <w:autoSpaceDE w:val="0"/>
        <w:autoSpaceDN w:val="0"/>
        <w:adjustRightInd w:val="0"/>
        <w:spacing w:after="0" w:line="240" w:lineRule="auto"/>
        <w:jc w:val="both"/>
        <w:rPr>
          <w:rFonts w:ascii="Arial" w:hAnsi="Arial" w:cs="Arial"/>
          <w:color w:val="000000" w:themeColor="text1"/>
          <w:lang w:val="uk-UA"/>
        </w:rPr>
      </w:pPr>
    </w:p>
    <w:p w14:paraId="436DB38B" w14:textId="77777777" w:rsidR="000543E6" w:rsidRPr="00713994" w:rsidRDefault="000543E6" w:rsidP="009C08C1">
      <w:pPr>
        <w:autoSpaceDE w:val="0"/>
        <w:autoSpaceDN w:val="0"/>
        <w:adjustRightInd w:val="0"/>
        <w:spacing w:after="0" w:line="240" w:lineRule="auto"/>
        <w:jc w:val="both"/>
        <w:rPr>
          <w:rFonts w:ascii="Arial" w:hAnsi="Arial" w:cs="Arial"/>
          <w:color w:val="000000" w:themeColor="text1"/>
          <w:lang w:val="uk-UA"/>
        </w:rPr>
      </w:pPr>
    </w:p>
    <w:p w14:paraId="628DA67F" w14:textId="77777777" w:rsidR="00410EEF" w:rsidRPr="00713994" w:rsidRDefault="00410EEF" w:rsidP="009C08C1">
      <w:pPr>
        <w:autoSpaceDE w:val="0"/>
        <w:autoSpaceDN w:val="0"/>
        <w:adjustRightInd w:val="0"/>
        <w:spacing w:after="0" w:line="240" w:lineRule="auto"/>
        <w:jc w:val="both"/>
        <w:rPr>
          <w:rFonts w:ascii="Arial" w:hAnsi="Arial" w:cs="Arial"/>
          <w:color w:val="000000" w:themeColor="text1"/>
          <w:lang w:val="uk-UA"/>
        </w:rPr>
      </w:pPr>
    </w:p>
    <w:p w14:paraId="17B834D4"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10CF5C0C"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7E0AE038"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0248B677"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3A8C98EC"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3ED35739"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643298F2" w14:textId="77777777" w:rsidR="00D64528" w:rsidRDefault="00D64528" w:rsidP="009C08C1">
      <w:pPr>
        <w:autoSpaceDE w:val="0"/>
        <w:autoSpaceDN w:val="0"/>
        <w:adjustRightInd w:val="0"/>
        <w:spacing w:after="0" w:line="240" w:lineRule="auto"/>
        <w:jc w:val="both"/>
        <w:rPr>
          <w:rFonts w:ascii="Arial" w:hAnsi="Arial" w:cs="Arial"/>
          <w:color w:val="000000" w:themeColor="text1"/>
          <w:lang w:val="uk-UA"/>
        </w:rPr>
      </w:pPr>
    </w:p>
    <w:p w14:paraId="6F394F85" w14:textId="6BBB9E63" w:rsidR="00410EEF" w:rsidRPr="00410EEF" w:rsidRDefault="00410EEF" w:rsidP="009C08C1">
      <w:pPr>
        <w:autoSpaceDE w:val="0"/>
        <w:autoSpaceDN w:val="0"/>
        <w:adjustRightInd w:val="0"/>
        <w:spacing w:after="0" w:line="240" w:lineRule="auto"/>
        <w:jc w:val="both"/>
        <w:rPr>
          <w:rFonts w:ascii="Arial" w:hAnsi="Arial" w:cs="Arial"/>
          <w:color w:val="000000" w:themeColor="text1"/>
          <w:lang w:val="uk-UA"/>
        </w:rPr>
      </w:pPr>
      <w:r w:rsidRPr="00410EEF">
        <w:rPr>
          <w:rFonts w:ascii="Arial" w:hAnsi="Arial" w:cs="Arial"/>
          <w:color w:val="000000" w:themeColor="text1"/>
          <w:lang w:val="uk-UA"/>
        </w:rPr>
        <w:t>________________</w:t>
      </w:r>
    </w:p>
    <w:p w14:paraId="04AC850D" w14:textId="77777777" w:rsidR="000543E6" w:rsidRPr="00713994" w:rsidRDefault="000543E6" w:rsidP="000543E6">
      <w:pPr>
        <w:autoSpaceDE w:val="0"/>
        <w:autoSpaceDN w:val="0"/>
        <w:adjustRightInd w:val="0"/>
        <w:spacing w:after="0" w:line="240" w:lineRule="auto"/>
        <w:jc w:val="both"/>
        <w:rPr>
          <w:rFonts w:ascii="Arial" w:hAnsi="Arial" w:cs="Arial"/>
          <w:color w:val="000000" w:themeColor="text1"/>
          <w:sz w:val="20"/>
          <w:szCs w:val="20"/>
          <w:lang w:val="uk-UA"/>
        </w:rPr>
      </w:pPr>
    </w:p>
    <w:p w14:paraId="6978EE34" w14:textId="77777777" w:rsidR="000543E6" w:rsidRPr="00410EEF" w:rsidRDefault="000543E6" w:rsidP="000543E6">
      <w:pPr>
        <w:autoSpaceDE w:val="0"/>
        <w:autoSpaceDN w:val="0"/>
        <w:adjustRightInd w:val="0"/>
        <w:spacing w:after="0" w:line="240" w:lineRule="auto"/>
        <w:jc w:val="both"/>
        <w:rPr>
          <w:rFonts w:ascii="Arial" w:hAnsi="Arial" w:cs="Arial"/>
          <w:i/>
          <w:iCs/>
          <w:color w:val="000000"/>
          <w:sz w:val="20"/>
          <w:szCs w:val="20"/>
        </w:rPr>
      </w:pPr>
      <w:r w:rsidRPr="002D30D3">
        <w:rPr>
          <w:rFonts w:ascii="Arial" w:hAnsi="Arial" w:cs="Arial"/>
          <w:b/>
          <w:color w:val="6A2041"/>
          <w:sz w:val="20"/>
          <w:szCs w:val="20"/>
          <w:vertAlign w:val="superscript"/>
          <w:lang w:val="uk-UA"/>
        </w:rPr>
        <w:t>22</w:t>
      </w:r>
      <w:r w:rsidRPr="00713994">
        <w:rPr>
          <w:rFonts w:ascii="Arial" w:hAnsi="Arial" w:cs="Arial"/>
          <w:color w:val="000000" w:themeColor="text1"/>
          <w:sz w:val="20"/>
          <w:szCs w:val="20"/>
          <w:lang w:val="uk-UA"/>
        </w:rPr>
        <w:t xml:space="preserve"> </w:t>
      </w:r>
      <w:r w:rsidR="00410EEF" w:rsidRPr="00713994">
        <w:rPr>
          <w:rFonts w:ascii="Arial" w:hAnsi="Arial" w:cs="Arial"/>
          <w:i/>
          <w:color w:val="000000" w:themeColor="text1"/>
          <w:sz w:val="20"/>
          <w:szCs w:val="20"/>
          <w:lang w:val="uk-UA"/>
        </w:rPr>
        <w:t>Для більш детальної інформації див .: Практичний посібник з фармаконагляду за лікарськими засобами, що застосовуються при лікуванні туберкульозу: підвищення рівня безпеки пацієнта, хворого  на туберкульоз</w:t>
      </w:r>
      <w:r w:rsidR="00410EEF" w:rsidRPr="00713994">
        <w:rPr>
          <w:rFonts w:ascii="Arial" w:hAnsi="Arial" w:cs="Arial"/>
          <w:color w:val="000000" w:themeColor="text1"/>
          <w:sz w:val="20"/>
          <w:szCs w:val="20"/>
          <w:lang w:val="uk-UA"/>
        </w:rPr>
        <w:t xml:space="preserve">. </w:t>
      </w:r>
      <w:r w:rsidR="00410EEF" w:rsidRPr="00713994">
        <w:rPr>
          <w:rFonts w:ascii="Arial" w:hAnsi="Arial" w:cs="Arial"/>
          <w:color w:val="000000" w:themeColor="text1"/>
          <w:sz w:val="20"/>
          <w:szCs w:val="20"/>
        </w:rPr>
        <w:t>Женева, Всесвітня організація охорони здоров'я, 2012.</w:t>
      </w:r>
      <w:r w:rsidRPr="00713994">
        <w:rPr>
          <w:rFonts w:ascii="Arial" w:hAnsi="Arial" w:cs="Arial"/>
          <w:color w:val="000000"/>
          <w:sz w:val="20"/>
          <w:szCs w:val="20"/>
        </w:rPr>
        <w:t xml:space="preserve"> </w:t>
      </w:r>
      <w:r w:rsidR="00410EEF">
        <w:rPr>
          <w:rFonts w:ascii="Arial" w:hAnsi="Arial" w:cs="Arial"/>
          <w:color w:val="000000"/>
          <w:sz w:val="20"/>
          <w:szCs w:val="20"/>
          <w:lang w:val="uk-UA"/>
        </w:rPr>
        <w:t>Доступно на сайті</w:t>
      </w:r>
      <w:r w:rsidRPr="00410EEF">
        <w:rPr>
          <w:rFonts w:ascii="Arial" w:hAnsi="Arial" w:cs="Arial"/>
          <w:color w:val="000000"/>
          <w:sz w:val="20"/>
          <w:szCs w:val="20"/>
        </w:rPr>
        <w:t xml:space="preserve">: </w:t>
      </w:r>
      <w:r w:rsidRPr="00255826">
        <w:rPr>
          <w:rFonts w:ascii="Arial" w:hAnsi="Arial" w:cs="Arial"/>
          <w:color w:val="000000"/>
          <w:sz w:val="20"/>
          <w:szCs w:val="20"/>
          <w:lang w:val="en-US"/>
        </w:rPr>
        <w:t>http</w:t>
      </w:r>
      <w:r w:rsidRPr="00410EEF">
        <w:rPr>
          <w:rFonts w:ascii="Arial" w:hAnsi="Arial" w:cs="Arial"/>
          <w:color w:val="000000"/>
          <w:sz w:val="20"/>
          <w:szCs w:val="20"/>
        </w:rPr>
        <w:t>://</w:t>
      </w:r>
      <w:r w:rsidRPr="00255826">
        <w:rPr>
          <w:rFonts w:ascii="Arial" w:hAnsi="Arial" w:cs="Arial"/>
          <w:color w:val="000000"/>
          <w:sz w:val="20"/>
          <w:szCs w:val="20"/>
          <w:lang w:val="en-US"/>
        </w:rPr>
        <w:t>www</w:t>
      </w:r>
      <w:r w:rsidRPr="00410EEF">
        <w:rPr>
          <w:rFonts w:ascii="Arial" w:hAnsi="Arial" w:cs="Arial"/>
          <w:color w:val="000000"/>
          <w:sz w:val="20"/>
          <w:szCs w:val="20"/>
        </w:rPr>
        <w:t>.</w:t>
      </w:r>
      <w:r w:rsidRPr="00255826">
        <w:rPr>
          <w:rFonts w:ascii="Arial" w:hAnsi="Arial" w:cs="Arial"/>
          <w:color w:val="000000"/>
          <w:sz w:val="20"/>
          <w:szCs w:val="20"/>
          <w:lang w:val="en-US"/>
        </w:rPr>
        <w:t>who</w:t>
      </w:r>
      <w:r w:rsidRPr="00410EEF">
        <w:rPr>
          <w:rFonts w:ascii="Arial" w:hAnsi="Arial" w:cs="Arial"/>
          <w:color w:val="000000"/>
          <w:sz w:val="20"/>
          <w:szCs w:val="20"/>
        </w:rPr>
        <w:t>.</w:t>
      </w:r>
      <w:r w:rsidRPr="00255826">
        <w:rPr>
          <w:rFonts w:ascii="Arial" w:hAnsi="Arial" w:cs="Arial"/>
          <w:color w:val="000000"/>
          <w:sz w:val="20"/>
          <w:szCs w:val="20"/>
          <w:lang w:val="en-US"/>
        </w:rPr>
        <w:t>int</w:t>
      </w:r>
      <w:r w:rsidRPr="00410EEF">
        <w:rPr>
          <w:rFonts w:ascii="Arial" w:hAnsi="Arial" w:cs="Arial"/>
          <w:color w:val="000000"/>
          <w:sz w:val="20"/>
          <w:szCs w:val="20"/>
        </w:rPr>
        <w:t>/</w:t>
      </w:r>
      <w:r w:rsidRPr="00255826">
        <w:rPr>
          <w:rFonts w:ascii="Arial" w:hAnsi="Arial" w:cs="Arial"/>
          <w:color w:val="000000"/>
          <w:sz w:val="20"/>
          <w:szCs w:val="20"/>
          <w:lang w:val="en-US"/>
        </w:rPr>
        <w:t>medicines</w:t>
      </w:r>
      <w:r w:rsidRPr="00410EEF">
        <w:rPr>
          <w:rFonts w:ascii="Arial" w:hAnsi="Arial" w:cs="Arial"/>
          <w:color w:val="000000"/>
          <w:sz w:val="20"/>
          <w:szCs w:val="20"/>
        </w:rPr>
        <w:t>/</w:t>
      </w:r>
      <w:r w:rsidRPr="00255826">
        <w:rPr>
          <w:rFonts w:ascii="Arial" w:hAnsi="Arial" w:cs="Arial"/>
          <w:color w:val="000000"/>
          <w:sz w:val="20"/>
          <w:szCs w:val="20"/>
          <w:lang w:val="en-US"/>
        </w:rPr>
        <w:t>publications</w:t>
      </w:r>
      <w:r w:rsidRPr="00410EEF">
        <w:rPr>
          <w:rFonts w:ascii="Arial" w:hAnsi="Arial" w:cs="Arial"/>
          <w:color w:val="000000"/>
          <w:sz w:val="20"/>
          <w:szCs w:val="20"/>
        </w:rPr>
        <w:t>/</w:t>
      </w:r>
      <w:r w:rsidRPr="00255826">
        <w:rPr>
          <w:rFonts w:ascii="Arial" w:hAnsi="Arial" w:cs="Arial"/>
          <w:color w:val="000000"/>
          <w:sz w:val="20"/>
          <w:szCs w:val="20"/>
          <w:lang w:val="en-US"/>
        </w:rPr>
        <w:t>pharmacovigilance</w:t>
      </w:r>
      <w:r w:rsidRPr="00410EEF">
        <w:rPr>
          <w:rFonts w:ascii="Arial" w:hAnsi="Arial" w:cs="Arial"/>
          <w:color w:val="000000"/>
          <w:sz w:val="20"/>
          <w:szCs w:val="20"/>
        </w:rPr>
        <w:t>_</w:t>
      </w:r>
      <w:r w:rsidRPr="00255826">
        <w:rPr>
          <w:rFonts w:ascii="Arial" w:hAnsi="Arial" w:cs="Arial"/>
          <w:color w:val="000000"/>
          <w:sz w:val="20"/>
          <w:szCs w:val="20"/>
          <w:lang w:val="en-US"/>
        </w:rPr>
        <w:t>tb</w:t>
      </w:r>
      <w:r w:rsidRPr="00410EEF">
        <w:rPr>
          <w:rFonts w:ascii="Arial" w:hAnsi="Arial" w:cs="Arial"/>
          <w:color w:val="000000"/>
          <w:sz w:val="20"/>
          <w:szCs w:val="20"/>
        </w:rPr>
        <w:t>/</w:t>
      </w:r>
    </w:p>
    <w:p w14:paraId="5F5740B7" w14:textId="0A48C408" w:rsidR="000543E6" w:rsidRPr="000326B3" w:rsidRDefault="000543E6" w:rsidP="000543E6">
      <w:pPr>
        <w:autoSpaceDE w:val="0"/>
        <w:autoSpaceDN w:val="0"/>
        <w:adjustRightInd w:val="0"/>
        <w:spacing w:after="0" w:line="240" w:lineRule="auto"/>
        <w:jc w:val="both"/>
        <w:rPr>
          <w:rFonts w:ascii="Arial" w:hAnsi="Arial" w:cs="Arial"/>
          <w:color w:val="C00000"/>
        </w:rPr>
      </w:pPr>
    </w:p>
    <w:p w14:paraId="315AA80A" w14:textId="765776B3" w:rsidR="00E568A1" w:rsidRPr="000326B3" w:rsidRDefault="00E568A1" w:rsidP="009B51D9">
      <w:pPr>
        <w:autoSpaceDE w:val="0"/>
        <w:autoSpaceDN w:val="0"/>
        <w:adjustRightInd w:val="0"/>
        <w:spacing w:after="0" w:line="240" w:lineRule="auto"/>
        <w:jc w:val="both"/>
        <w:outlineLvl w:val="0"/>
        <w:rPr>
          <w:rFonts w:ascii="Arial" w:hAnsi="Arial" w:cs="Arial"/>
          <w:b/>
          <w:bCs/>
          <w:color w:val="C00000"/>
          <w:sz w:val="36"/>
          <w:szCs w:val="36"/>
        </w:rPr>
      </w:pPr>
      <w:r w:rsidRPr="000326B3">
        <w:rPr>
          <w:rFonts w:ascii="Arial" w:hAnsi="Arial" w:cs="Arial"/>
          <w:b/>
          <w:bCs/>
          <w:color w:val="C00000"/>
          <w:sz w:val="36"/>
          <w:szCs w:val="36"/>
        </w:rPr>
        <w:t xml:space="preserve">6. </w:t>
      </w:r>
      <w:r w:rsidRPr="000326B3">
        <w:rPr>
          <w:rFonts w:ascii="Arial" w:hAnsi="Arial" w:cs="Arial"/>
          <w:b/>
          <w:bCs/>
          <w:color w:val="C00000"/>
          <w:sz w:val="36"/>
          <w:szCs w:val="36"/>
          <w:lang w:val="uk-UA"/>
        </w:rPr>
        <w:t>Тимчасові рекомендації ВООЗ</w:t>
      </w:r>
    </w:p>
    <w:p w14:paraId="7DED4F43" w14:textId="77777777" w:rsidR="00E568A1" w:rsidRPr="00410EEF" w:rsidRDefault="00E568A1" w:rsidP="0037724F">
      <w:pPr>
        <w:autoSpaceDE w:val="0"/>
        <w:autoSpaceDN w:val="0"/>
        <w:adjustRightInd w:val="0"/>
        <w:spacing w:after="0" w:line="240" w:lineRule="auto"/>
        <w:jc w:val="both"/>
        <w:rPr>
          <w:rFonts w:ascii="Arial" w:hAnsi="Arial" w:cs="Arial"/>
          <w:color w:val="000000"/>
          <w:sz w:val="24"/>
          <w:szCs w:val="24"/>
        </w:rPr>
      </w:pPr>
    </w:p>
    <w:p w14:paraId="28DFEDBF" w14:textId="0A4D1227" w:rsidR="00581A98" w:rsidRPr="00AA0376" w:rsidRDefault="00581A98" w:rsidP="00581A98">
      <w:pPr>
        <w:autoSpaceDE w:val="0"/>
        <w:autoSpaceDN w:val="0"/>
        <w:adjustRightInd w:val="0"/>
        <w:spacing w:after="0" w:line="240" w:lineRule="auto"/>
        <w:jc w:val="both"/>
        <w:rPr>
          <w:rFonts w:ascii="Arial" w:hAnsi="Arial" w:cs="Arial"/>
          <w:color w:val="000000"/>
          <w:lang w:val="uk-UA"/>
        </w:rPr>
      </w:pPr>
      <w:r w:rsidRPr="003C1249">
        <w:rPr>
          <w:rFonts w:ascii="Arial" w:hAnsi="Arial" w:cs="Arial"/>
          <w:color w:val="000000"/>
          <w:lang w:val="uk-UA"/>
        </w:rPr>
        <w:t>Беручи до уваги вищезазначену оцінку</w:t>
      </w:r>
      <w:r>
        <w:rPr>
          <w:rFonts w:ascii="Arial" w:hAnsi="Arial" w:cs="Arial"/>
          <w:color w:val="000000"/>
          <w:lang w:val="uk-UA"/>
        </w:rPr>
        <w:t xml:space="preserve"> доказів та застереження ЕГ, ВООЗ рекомендує</w:t>
      </w:r>
      <w:r w:rsidRPr="003C1249">
        <w:rPr>
          <w:rFonts w:ascii="Arial" w:hAnsi="Arial" w:cs="Arial"/>
          <w:color w:val="000000"/>
          <w:lang w:val="uk-UA"/>
        </w:rPr>
        <w:t xml:space="preserve"> </w:t>
      </w:r>
      <w:r>
        <w:rPr>
          <w:rFonts w:ascii="Arial" w:hAnsi="Arial" w:cs="Arial"/>
          <w:color w:val="000000"/>
          <w:lang w:val="uk-UA"/>
        </w:rPr>
        <w:t xml:space="preserve">додавання </w:t>
      </w:r>
      <w:r>
        <w:rPr>
          <w:rFonts w:ascii="Arial" w:hAnsi="Arial" w:cs="Arial"/>
          <w:b/>
          <w:color w:val="000000"/>
          <w:lang w:val="uk-UA"/>
        </w:rPr>
        <w:t xml:space="preserve">бедаквіліна </w:t>
      </w:r>
      <w:r w:rsidRPr="003C1249">
        <w:rPr>
          <w:rFonts w:ascii="Arial" w:hAnsi="Arial" w:cs="Arial"/>
          <w:b/>
          <w:color w:val="000000"/>
          <w:lang w:val="uk-UA"/>
        </w:rPr>
        <w:t xml:space="preserve">до рекомендованої ВООЗ схеми лікування дорослих пацієнтів з легеневим </w:t>
      </w:r>
      <w:r>
        <w:rPr>
          <w:rFonts w:ascii="Arial" w:hAnsi="Arial" w:cs="Arial"/>
          <w:b/>
          <w:color w:val="000000"/>
          <w:lang w:val="uk-UA"/>
        </w:rPr>
        <w:t>МР ТБ</w:t>
      </w:r>
      <w:r w:rsidRPr="003C1249">
        <w:rPr>
          <w:rFonts w:ascii="Arial" w:hAnsi="Arial" w:cs="Arial"/>
          <w:b/>
          <w:color w:val="000000"/>
          <w:lang w:val="uk-UA"/>
        </w:rPr>
        <w:t xml:space="preserve"> (</w:t>
      </w:r>
      <w:r w:rsidRPr="003C1249">
        <w:rPr>
          <w:rFonts w:ascii="Arial" w:hAnsi="Arial" w:cs="Arial"/>
          <w:b/>
          <w:i/>
          <w:color w:val="000000"/>
          <w:lang w:val="uk-UA"/>
        </w:rPr>
        <w:t>умовна рекоменд</w:t>
      </w:r>
      <w:r w:rsidR="000326B3">
        <w:rPr>
          <w:rFonts w:ascii="Arial" w:hAnsi="Arial" w:cs="Arial"/>
          <w:b/>
          <w:i/>
          <w:color w:val="000000"/>
          <w:lang w:val="uk-UA"/>
        </w:rPr>
        <w:t>ація, дуже низька достовірність оцін</w:t>
      </w:r>
      <w:r w:rsidRPr="003C1249">
        <w:rPr>
          <w:rFonts w:ascii="Arial" w:hAnsi="Arial" w:cs="Arial"/>
          <w:b/>
          <w:i/>
          <w:color w:val="000000"/>
          <w:lang w:val="uk-UA"/>
        </w:rPr>
        <w:t>к</w:t>
      </w:r>
      <w:r w:rsidR="000326B3">
        <w:rPr>
          <w:rFonts w:ascii="Arial" w:hAnsi="Arial" w:cs="Arial"/>
          <w:b/>
          <w:i/>
          <w:color w:val="000000"/>
          <w:lang w:val="uk-UA"/>
        </w:rPr>
        <w:t>и результатів</w:t>
      </w:r>
      <w:r w:rsidRPr="003C1249">
        <w:rPr>
          <w:rFonts w:ascii="Arial" w:hAnsi="Arial" w:cs="Arial"/>
          <w:color w:val="000000"/>
          <w:lang w:val="uk-UA"/>
        </w:rPr>
        <w:t>).</w:t>
      </w:r>
      <w:r>
        <w:rPr>
          <w:rFonts w:ascii="Arial" w:hAnsi="Arial" w:cs="Arial"/>
          <w:color w:val="000000"/>
          <w:lang w:val="uk-UA"/>
        </w:rPr>
        <w:t xml:space="preserve"> </w:t>
      </w:r>
      <w:r w:rsidRPr="003C1249">
        <w:rPr>
          <w:rFonts w:ascii="Arial" w:hAnsi="Arial" w:cs="Arial"/>
          <w:color w:val="000000"/>
          <w:lang w:val="uk-UA"/>
        </w:rPr>
        <w:t xml:space="preserve">Враховуючи обмежені дані про бедаквілін та його </w:t>
      </w:r>
      <w:r>
        <w:rPr>
          <w:rFonts w:ascii="Arial" w:hAnsi="Arial" w:cs="Arial"/>
          <w:color w:val="000000"/>
          <w:lang w:val="uk-UA"/>
        </w:rPr>
        <w:t>застосування</w:t>
      </w:r>
      <w:r w:rsidRPr="003C1249">
        <w:rPr>
          <w:rFonts w:ascii="Arial" w:hAnsi="Arial" w:cs="Arial"/>
          <w:color w:val="000000"/>
          <w:lang w:val="uk-UA"/>
        </w:rPr>
        <w:t xml:space="preserve"> в різних ситуаціях, які можуть виникнути в різних клінічних умовах</w:t>
      </w:r>
      <w:r>
        <w:rPr>
          <w:rFonts w:ascii="Arial" w:hAnsi="Arial" w:cs="Arial"/>
          <w:color w:val="000000"/>
          <w:lang w:val="uk-UA"/>
        </w:rPr>
        <w:t xml:space="preserve"> на різних сайтах</w:t>
      </w:r>
      <w:r w:rsidRPr="003C1249">
        <w:rPr>
          <w:rFonts w:ascii="Arial" w:hAnsi="Arial" w:cs="Arial"/>
          <w:color w:val="000000"/>
          <w:lang w:val="uk-UA"/>
        </w:rPr>
        <w:t xml:space="preserve">, необхідно </w:t>
      </w:r>
      <w:r>
        <w:rPr>
          <w:rFonts w:ascii="Arial" w:hAnsi="Arial" w:cs="Arial"/>
          <w:color w:val="000000"/>
          <w:lang w:val="uk-UA"/>
        </w:rPr>
        <w:t>передбачити відповідні умови</w:t>
      </w:r>
      <w:r w:rsidRPr="003C1249">
        <w:rPr>
          <w:rFonts w:ascii="Arial" w:hAnsi="Arial" w:cs="Arial"/>
          <w:color w:val="000000"/>
          <w:lang w:val="uk-UA"/>
        </w:rPr>
        <w:t xml:space="preserve"> щодо безпечного та ефективного </w:t>
      </w:r>
      <w:r>
        <w:rPr>
          <w:rFonts w:ascii="Arial" w:hAnsi="Arial" w:cs="Arial"/>
          <w:color w:val="000000"/>
          <w:lang w:val="uk-UA"/>
        </w:rPr>
        <w:t>застосування</w:t>
      </w:r>
      <w:r w:rsidRPr="003C1249">
        <w:rPr>
          <w:rFonts w:ascii="Arial" w:hAnsi="Arial" w:cs="Arial"/>
          <w:color w:val="000000"/>
          <w:lang w:val="uk-UA"/>
        </w:rPr>
        <w:t xml:space="preserve"> препарату.</w:t>
      </w:r>
      <w:r>
        <w:rPr>
          <w:rFonts w:ascii="Arial" w:hAnsi="Arial" w:cs="Arial"/>
          <w:color w:val="000000"/>
          <w:lang w:val="uk-UA"/>
        </w:rPr>
        <w:t xml:space="preserve"> </w:t>
      </w:r>
      <w:r w:rsidRPr="00AA0376">
        <w:rPr>
          <w:rFonts w:ascii="Arial" w:hAnsi="Arial" w:cs="Arial"/>
          <w:color w:val="000000"/>
          <w:lang w:val="uk-UA"/>
        </w:rPr>
        <w:t>Отже, країнам рекомендується застосовувати поетапний підхід для впровадження бед</w:t>
      </w:r>
      <w:r>
        <w:rPr>
          <w:rFonts w:ascii="Arial" w:hAnsi="Arial" w:cs="Arial"/>
          <w:color w:val="000000"/>
          <w:lang w:val="uk-UA"/>
        </w:rPr>
        <w:t xml:space="preserve">аквіліну, в ідеалі через спостережні </w:t>
      </w:r>
      <w:r w:rsidRPr="00AA0376">
        <w:rPr>
          <w:rFonts w:ascii="Arial" w:hAnsi="Arial" w:cs="Arial"/>
          <w:color w:val="000000"/>
          <w:lang w:val="uk-UA"/>
        </w:rPr>
        <w:t>когорт</w:t>
      </w:r>
      <w:r>
        <w:rPr>
          <w:rFonts w:ascii="Arial" w:hAnsi="Arial" w:cs="Arial"/>
          <w:color w:val="000000"/>
          <w:lang w:val="uk-UA"/>
        </w:rPr>
        <w:t>ні дослідження, де можливе забезпечення відповідних умов</w:t>
      </w:r>
      <w:r w:rsidRPr="00AA0376">
        <w:rPr>
          <w:rFonts w:ascii="Arial" w:hAnsi="Arial" w:cs="Arial"/>
          <w:color w:val="000000"/>
          <w:lang w:val="uk-UA"/>
        </w:rPr>
        <w:t xml:space="preserve">. Рекомендація ВООЗ щодо включення бедаквіліну до схеми лікування дорослих з </w:t>
      </w:r>
      <w:r>
        <w:rPr>
          <w:rFonts w:ascii="Arial" w:hAnsi="Arial" w:cs="Arial"/>
          <w:color w:val="000000"/>
          <w:lang w:val="uk-UA"/>
        </w:rPr>
        <w:t>МР ТБ</w:t>
      </w:r>
      <w:r w:rsidRPr="00AA0376">
        <w:rPr>
          <w:rFonts w:ascii="Arial" w:hAnsi="Arial" w:cs="Arial"/>
          <w:color w:val="000000"/>
          <w:lang w:val="uk-UA"/>
        </w:rPr>
        <w:t xml:space="preserve"> підлягає виконанню наступних п'яти умов:</w:t>
      </w:r>
    </w:p>
    <w:p w14:paraId="31B08AA9" w14:textId="77777777" w:rsidR="00581A98" w:rsidRPr="000326B3" w:rsidRDefault="00581A98" w:rsidP="00581A98">
      <w:pPr>
        <w:autoSpaceDE w:val="0"/>
        <w:autoSpaceDN w:val="0"/>
        <w:adjustRightInd w:val="0"/>
        <w:spacing w:after="0" w:line="240" w:lineRule="auto"/>
        <w:jc w:val="both"/>
        <w:rPr>
          <w:rFonts w:ascii="Arial" w:hAnsi="Arial" w:cs="Arial"/>
          <w:b/>
          <w:bCs/>
          <w:color w:val="C00000"/>
          <w:lang w:val="uk-UA"/>
        </w:rPr>
      </w:pPr>
    </w:p>
    <w:p w14:paraId="5CC439CD" w14:textId="49BE1CE9" w:rsidR="00581A98" w:rsidRPr="00A91B10" w:rsidRDefault="00581A98" w:rsidP="00581A98">
      <w:pPr>
        <w:autoSpaceDE w:val="0"/>
        <w:autoSpaceDN w:val="0"/>
        <w:adjustRightInd w:val="0"/>
        <w:spacing w:after="0" w:line="240" w:lineRule="auto"/>
        <w:jc w:val="both"/>
        <w:rPr>
          <w:rFonts w:ascii="Arial" w:hAnsi="Arial" w:cs="Arial"/>
          <w:color w:val="000000"/>
          <w:lang w:val="uk-UA"/>
        </w:rPr>
      </w:pPr>
      <w:r w:rsidRPr="000326B3">
        <w:rPr>
          <w:rFonts w:ascii="Arial" w:hAnsi="Arial" w:cs="Arial"/>
          <w:b/>
          <w:color w:val="C00000"/>
          <w:lang w:val="uk-UA"/>
        </w:rPr>
        <w:t>1. Лікування відбувається за ретельно контрольованих умов</w:t>
      </w:r>
      <w:r w:rsidRPr="00AA0376">
        <w:rPr>
          <w:rFonts w:ascii="Arial" w:hAnsi="Arial" w:cs="Arial"/>
          <w:color w:val="000000"/>
          <w:lang w:val="uk-UA"/>
        </w:rPr>
        <w:t xml:space="preserve">, </w:t>
      </w:r>
      <w:r>
        <w:rPr>
          <w:rFonts w:ascii="Arial" w:hAnsi="Arial" w:cs="Arial"/>
          <w:color w:val="000000"/>
          <w:lang w:val="uk-UA"/>
        </w:rPr>
        <w:t xml:space="preserve">та з достриманням </w:t>
      </w:r>
      <w:r w:rsidRPr="00AA0376">
        <w:rPr>
          <w:rFonts w:ascii="Arial" w:hAnsi="Arial" w:cs="Arial"/>
          <w:color w:val="000000"/>
          <w:lang w:val="uk-UA"/>
        </w:rPr>
        <w:t>найкра</w:t>
      </w:r>
      <w:r>
        <w:rPr>
          <w:rFonts w:ascii="Arial" w:hAnsi="Arial" w:cs="Arial"/>
          <w:color w:val="000000"/>
          <w:lang w:val="uk-UA"/>
        </w:rPr>
        <w:t>щих методів лікування</w:t>
      </w:r>
      <w:r w:rsidRPr="00AA0376">
        <w:rPr>
          <w:rFonts w:ascii="Arial" w:hAnsi="Arial" w:cs="Arial"/>
          <w:color w:val="000000"/>
          <w:lang w:val="uk-UA"/>
        </w:rPr>
        <w:t xml:space="preserve"> для забезпечення опт</w:t>
      </w:r>
      <w:r>
        <w:rPr>
          <w:rFonts w:ascii="Arial" w:hAnsi="Arial" w:cs="Arial"/>
          <w:color w:val="000000"/>
          <w:lang w:val="uk-UA"/>
        </w:rPr>
        <w:t>имальної ефективності та безпечності</w:t>
      </w:r>
      <w:r w:rsidRPr="00AA0376">
        <w:rPr>
          <w:rFonts w:ascii="Arial" w:hAnsi="Arial" w:cs="Arial"/>
          <w:color w:val="000000"/>
          <w:lang w:val="uk-UA"/>
        </w:rPr>
        <w:t xml:space="preserve"> препарату.</w:t>
      </w:r>
      <w:r>
        <w:rPr>
          <w:rFonts w:ascii="Arial" w:hAnsi="Arial" w:cs="Arial"/>
          <w:color w:val="000000"/>
          <w:lang w:val="uk-UA"/>
        </w:rPr>
        <w:t xml:space="preserve"> </w:t>
      </w:r>
      <w:r w:rsidRPr="00B505C7">
        <w:rPr>
          <w:rFonts w:ascii="Arial" w:hAnsi="Arial" w:cs="Arial"/>
          <w:color w:val="000000"/>
          <w:lang w:val="uk-UA"/>
        </w:rPr>
        <w:t>Враховуючи, що результати випробування Фази IIb показали надмірну смертність у групі бедаквіліну порівняно з групою плацебо, і що результати випробувань Фази III очікуються лише через кілька років, особливо важливо, щоб введення бед</w:t>
      </w:r>
      <w:r>
        <w:rPr>
          <w:rFonts w:ascii="Arial" w:hAnsi="Arial" w:cs="Arial"/>
          <w:color w:val="000000"/>
          <w:lang w:val="uk-UA"/>
        </w:rPr>
        <w:t>аквіліну ретельно контролювалося. Рекомендовано запровадження наступних заходів</w:t>
      </w:r>
      <w:r w:rsidRPr="00B505C7">
        <w:rPr>
          <w:rFonts w:ascii="Arial" w:hAnsi="Arial" w:cs="Arial"/>
          <w:color w:val="000000"/>
          <w:lang w:val="uk-UA"/>
        </w:rPr>
        <w:t>:</w:t>
      </w:r>
    </w:p>
    <w:p w14:paraId="6EEA6774" w14:textId="77777777" w:rsidR="00581A98" w:rsidRPr="00AA0376" w:rsidRDefault="00581A98" w:rsidP="00581A98">
      <w:pPr>
        <w:autoSpaceDE w:val="0"/>
        <w:autoSpaceDN w:val="0"/>
        <w:adjustRightInd w:val="0"/>
        <w:spacing w:after="0" w:line="240" w:lineRule="auto"/>
        <w:jc w:val="both"/>
        <w:rPr>
          <w:rFonts w:ascii="Arial" w:hAnsi="Arial" w:cs="Arial"/>
          <w:color w:val="000000"/>
          <w:lang w:val="uk-UA"/>
        </w:rPr>
      </w:pPr>
    </w:p>
    <w:p w14:paraId="318FC241" w14:textId="77777777" w:rsidR="00581A98" w:rsidRPr="00D45132" w:rsidRDefault="00581A98" w:rsidP="00581A98">
      <w:pPr>
        <w:autoSpaceDE w:val="0"/>
        <w:autoSpaceDN w:val="0"/>
        <w:adjustRightInd w:val="0"/>
        <w:spacing w:after="0" w:line="240" w:lineRule="auto"/>
        <w:ind w:left="708"/>
        <w:jc w:val="both"/>
        <w:rPr>
          <w:rFonts w:ascii="Arial" w:hAnsi="Arial" w:cs="Arial"/>
          <w:color w:val="000000"/>
          <w:lang w:val="uk-UA"/>
        </w:rPr>
      </w:pPr>
      <w:r w:rsidRPr="00AB2125">
        <w:rPr>
          <w:rFonts w:ascii="Arial" w:hAnsi="Arial" w:cs="Arial"/>
          <w:color w:val="000000"/>
          <w:lang w:val="en-US"/>
        </w:rPr>
        <w:t>a</w:t>
      </w:r>
      <w:r w:rsidRPr="0013308B">
        <w:rPr>
          <w:rFonts w:ascii="Arial" w:hAnsi="Arial" w:cs="Arial"/>
          <w:color w:val="000000"/>
          <w:lang w:val="uk-UA"/>
        </w:rPr>
        <w:t xml:space="preserve">. </w:t>
      </w:r>
      <w:r w:rsidRPr="00A91B10">
        <w:rPr>
          <w:rFonts w:ascii="Arial" w:hAnsi="Arial" w:cs="Arial"/>
          <w:color w:val="000000"/>
          <w:lang w:val="uk-UA"/>
        </w:rPr>
        <w:t>Протоколи з лікування та ведення випадку</w:t>
      </w:r>
      <w:r w:rsidRPr="0013308B">
        <w:rPr>
          <w:rFonts w:ascii="Arial" w:hAnsi="Arial" w:cs="Arial"/>
          <w:color w:val="000000"/>
          <w:lang w:val="uk-UA"/>
        </w:rPr>
        <w:t>, включаючи чіткі критерії відбору пацієнтів, процедури отримання інформованої згоди пацієнта та визначення ролей і обов'язків усіх залучених фахівців.</w:t>
      </w:r>
      <w:r>
        <w:rPr>
          <w:rFonts w:ascii="Arial" w:hAnsi="Arial" w:cs="Arial"/>
          <w:color w:val="000000"/>
          <w:lang w:val="uk-UA"/>
        </w:rPr>
        <w:t xml:space="preserve"> </w:t>
      </w:r>
      <w:r w:rsidRPr="00D45132">
        <w:rPr>
          <w:rFonts w:ascii="Arial" w:hAnsi="Arial" w:cs="Arial"/>
          <w:color w:val="000000"/>
          <w:lang w:val="uk-UA"/>
        </w:rPr>
        <w:t>Протоколи лікування повинні передбачити можливість п</w:t>
      </w:r>
      <w:r>
        <w:rPr>
          <w:rFonts w:ascii="Arial" w:hAnsi="Arial" w:cs="Arial"/>
          <w:color w:val="000000"/>
          <w:lang w:val="uk-UA"/>
        </w:rPr>
        <w:t>ерспективного з</w:t>
      </w:r>
      <w:r w:rsidRPr="00D45132">
        <w:rPr>
          <w:rFonts w:ascii="Arial" w:hAnsi="Arial" w:cs="Arial"/>
          <w:color w:val="000000"/>
          <w:lang w:val="uk-UA"/>
        </w:rPr>
        <w:t>бору даних по ключовим змінним як з то</w:t>
      </w:r>
      <w:r>
        <w:rPr>
          <w:rFonts w:ascii="Arial" w:hAnsi="Arial" w:cs="Arial"/>
          <w:color w:val="000000"/>
          <w:lang w:val="uk-UA"/>
        </w:rPr>
        <w:t>чки зору ефективності так і безпечності</w:t>
      </w:r>
      <w:r w:rsidRPr="00D45132">
        <w:rPr>
          <w:rFonts w:ascii="Arial" w:hAnsi="Arial" w:cs="Arial"/>
          <w:color w:val="000000"/>
          <w:lang w:val="uk-UA"/>
        </w:rPr>
        <w:t>. Питання безпеки краще всього вирішувати, використовуючи</w:t>
      </w:r>
      <w:r>
        <w:rPr>
          <w:rFonts w:ascii="Arial" w:hAnsi="Arial" w:cs="Arial"/>
          <w:color w:val="000000"/>
          <w:lang w:val="uk-UA"/>
        </w:rPr>
        <w:t xml:space="preserve"> методологію моніторингу когортного випадку</w:t>
      </w:r>
      <w:r w:rsidRPr="00D45132">
        <w:rPr>
          <w:rFonts w:ascii="Arial" w:hAnsi="Arial" w:cs="Arial"/>
          <w:color w:val="000000"/>
          <w:lang w:val="uk-UA"/>
        </w:rPr>
        <w:t>, яка застосовується для активного фармакологічного нагляду.</w:t>
      </w:r>
      <w:r>
        <w:rPr>
          <w:rFonts w:ascii="Arial" w:hAnsi="Arial" w:cs="Arial"/>
          <w:color w:val="000000"/>
          <w:lang w:val="uk-UA"/>
        </w:rPr>
        <w:t xml:space="preserve"> </w:t>
      </w:r>
      <w:r w:rsidRPr="00D45132">
        <w:rPr>
          <w:rFonts w:ascii="Arial" w:hAnsi="Arial" w:cs="Arial"/>
          <w:color w:val="000000"/>
          <w:lang w:val="uk-UA"/>
        </w:rPr>
        <w:t>Електронні системи полегшать ефективне управління даними т</w:t>
      </w:r>
      <w:r>
        <w:rPr>
          <w:rFonts w:ascii="Arial" w:hAnsi="Arial" w:cs="Arial"/>
          <w:color w:val="000000"/>
          <w:lang w:val="uk-UA"/>
        </w:rPr>
        <w:t>а формування ключових індикаторів</w:t>
      </w:r>
      <w:r w:rsidRPr="00D45132">
        <w:rPr>
          <w:rFonts w:ascii="Arial" w:hAnsi="Arial" w:cs="Arial"/>
          <w:color w:val="000000"/>
          <w:lang w:val="uk-UA"/>
        </w:rPr>
        <w:t>.</w:t>
      </w:r>
    </w:p>
    <w:p w14:paraId="731C0DDA" w14:textId="77777777" w:rsidR="00581A98" w:rsidRDefault="00581A98" w:rsidP="00581A98">
      <w:pPr>
        <w:autoSpaceDE w:val="0"/>
        <w:autoSpaceDN w:val="0"/>
        <w:adjustRightInd w:val="0"/>
        <w:spacing w:after="0" w:line="240" w:lineRule="auto"/>
        <w:ind w:left="708"/>
        <w:jc w:val="both"/>
        <w:rPr>
          <w:rFonts w:ascii="Arial" w:hAnsi="Arial" w:cs="Arial"/>
          <w:color w:val="000000"/>
          <w:lang w:val="en-US"/>
        </w:rPr>
      </w:pPr>
    </w:p>
    <w:p w14:paraId="164C6706" w14:textId="77777777" w:rsidR="00581A98" w:rsidRDefault="00581A98" w:rsidP="00581A98">
      <w:pPr>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lang w:val="en-US"/>
        </w:rPr>
        <w:t>б</w:t>
      </w:r>
      <w:r w:rsidRPr="00D45132">
        <w:rPr>
          <w:rFonts w:ascii="Arial" w:hAnsi="Arial" w:cs="Arial"/>
          <w:color w:val="000000"/>
        </w:rPr>
        <w:t xml:space="preserve">. Протоколи лікування </w:t>
      </w:r>
      <w:r>
        <w:rPr>
          <w:rFonts w:ascii="Arial" w:hAnsi="Arial" w:cs="Arial"/>
          <w:color w:val="000000"/>
        </w:rPr>
        <w:t>подаються на затвердження</w:t>
      </w:r>
      <w:r w:rsidRPr="00D45132">
        <w:rPr>
          <w:rFonts w:ascii="Arial" w:hAnsi="Arial" w:cs="Arial"/>
          <w:color w:val="000000"/>
        </w:rPr>
        <w:t xml:space="preserve"> відповідним національни</w:t>
      </w:r>
      <w:r>
        <w:rPr>
          <w:rFonts w:ascii="Arial" w:hAnsi="Arial" w:cs="Arial"/>
          <w:color w:val="000000"/>
        </w:rPr>
        <w:t>м органом з питань етики до початку процесу залучення пацієнтів до</w:t>
      </w:r>
      <w:r w:rsidRPr="00D45132">
        <w:rPr>
          <w:rFonts w:ascii="Arial" w:hAnsi="Arial" w:cs="Arial"/>
          <w:color w:val="000000"/>
        </w:rPr>
        <w:t xml:space="preserve"> курсу лікування.</w:t>
      </w:r>
    </w:p>
    <w:p w14:paraId="0C190A5A" w14:textId="77777777" w:rsidR="00581A98" w:rsidRPr="00D45132" w:rsidRDefault="00581A98" w:rsidP="00581A98">
      <w:pPr>
        <w:autoSpaceDE w:val="0"/>
        <w:autoSpaceDN w:val="0"/>
        <w:adjustRightInd w:val="0"/>
        <w:spacing w:after="0" w:line="240" w:lineRule="auto"/>
        <w:ind w:left="708"/>
        <w:jc w:val="both"/>
        <w:rPr>
          <w:rFonts w:ascii="Arial" w:hAnsi="Arial" w:cs="Arial"/>
          <w:color w:val="000000"/>
          <w:lang w:val="uk-UA"/>
        </w:rPr>
      </w:pPr>
    </w:p>
    <w:p w14:paraId="37AEE8E0" w14:textId="77777777" w:rsidR="00581A98" w:rsidRDefault="00581A98" w:rsidP="00581A98">
      <w:pPr>
        <w:autoSpaceDE w:val="0"/>
        <w:autoSpaceDN w:val="0"/>
        <w:adjustRightInd w:val="0"/>
        <w:spacing w:after="0" w:line="240" w:lineRule="auto"/>
        <w:ind w:left="708"/>
        <w:jc w:val="both"/>
        <w:rPr>
          <w:rFonts w:ascii="Arial" w:hAnsi="Arial" w:cs="Arial"/>
          <w:color w:val="000000"/>
          <w:lang w:val="uk-UA"/>
        </w:rPr>
      </w:pPr>
      <w:r>
        <w:rPr>
          <w:rFonts w:ascii="Arial" w:hAnsi="Arial" w:cs="Arial"/>
          <w:color w:val="000000"/>
        </w:rPr>
        <w:t>в. Бажано</w:t>
      </w:r>
      <w:r w:rsidRPr="00CB57B9">
        <w:rPr>
          <w:rFonts w:ascii="Arial" w:hAnsi="Arial" w:cs="Arial"/>
          <w:color w:val="000000"/>
        </w:rPr>
        <w:t xml:space="preserve">, </w:t>
      </w:r>
      <w:r>
        <w:rPr>
          <w:rFonts w:ascii="Arial" w:hAnsi="Arial" w:cs="Arial"/>
          <w:color w:val="000000"/>
        </w:rPr>
        <w:t xml:space="preserve">щоб </w:t>
      </w:r>
      <w:r w:rsidRPr="00CB57B9">
        <w:rPr>
          <w:rFonts w:ascii="Arial" w:hAnsi="Arial" w:cs="Arial"/>
          <w:color w:val="000000"/>
        </w:rPr>
        <w:t xml:space="preserve">нагляд за програмами лікування та </w:t>
      </w:r>
      <w:r>
        <w:rPr>
          <w:rFonts w:ascii="Arial" w:hAnsi="Arial" w:cs="Arial"/>
          <w:color w:val="000000"/>
        </w:rPr>
        <w:t>ведення випадків виконувавс</w:t>
      </w:r>
      <w:r w:rsidRPr="00CB57B9">
        <w:rPr>
          <w:rFonts w:ascii="Arial" w:hAnsi="Arial" w:cs="Arial"/>
          <w:color w:val="000000"/>
        </w:rPr>
        <w:t xml:space="preserve">я незалежною групою експертів в області клінічного </w:t>
      </w:r>
      <w:r>
        <w:rPr>
          <w:rFonts w:ascii="Arial" w:hAnsi="Arial" w:cs="Arial"/>
          <w:color w:val="000000"/>
          <w:lang w:val="uk-UA"/>
        </w:rPr>
        <w:t>лікування</w:t>
      </w:r>
      <w:r w:rsidRPr="00CB57B9">
        <w:rPr>
          <w:rFonts w:ascii="Arial" w:hAnsi="Arial" w:cs="Arial"/>
          <w:color w:val="000000"/>
        </w:rPr>
        <w:t xml:space="preserve"> та охорони </w:t>
      </w:r>
      <w:r>
        <w:rPr>
          <w:rFonts w:ascii="Arial" w:hAnsi="Arial" w:cs="Arial"/>
          <w:color w:val="000000"/>
        </w:rPr>
        <w:t xml:space="preserve">громадського </w:t>
      </w:r>
      <w:r w:rsidRPr="00CB57B9">
        <w:rPr>
          <w:rFonts w:ascii="Arial" w:hAnsi="Arial" w:cs="Arial"/>
          <w:color w:val="000000"/>
        </w:rPr>
        <w:t xml:space="preserve">здоров'я - наприклад,  національна консультативна група з </w:t>
      </w:r>
      <w:r>
        <w:rPr>
          <w:rFonts w:ascii="Arial" w:hAnsi="Arial" w:cs="Arial"/>
          <w:color w:val="000000"/>
        </w:rPr>
        <w:t>МР ТБ</w:t>
      </w:r>
      <w:r w:rsidRPr="00CB57B9">
        <w:rPr>
          <w:rFonts w:ascii="Arial" w:hAnsi="Arial" w:cs="Arial"/>
          <w:color w:val="000000"/>
        </w:rPr>
        <w:t>.</w:t>
      </w:r>
    </w:p>
    <w:p w14:paraId="4C28AC78" w14:textId="77777777" w:rsidR="00581A98" w:rsidRPr="00581A98" w:rsidRDefault="00581A98" w:rsidP="00581A98">
      <w:pPr>
        <w:autoSpaceDE w:val="0"/>
        <w:autoSpaceDN w:val="0"/>
        <w:adjustRightInd w:val="0"/>
        <w:spacing w:after="0" w:line="240" w:lineRule="auto"/>
        <w:jc w:val="both"/>
        <w:rPr>
          <w:rFonts w:ascii="Arial" w:hAnsi="Arial" w:cs="Arial"/>
          <w:color w:val="833C0B" w:themeColor="accent2" w:themeShade="80"/>
          <w:lang w:val="uk-UA"/>
        </w:rPr>
      </w:pPr>
    </w:p>
    <w:p w14:paraId="4F6D624B" w14:textId="77777777" w:rsidR="00581A98" w:rsidRPr="003C6AD6" w:rsidRDefault="00581A98" w:rsidP="00581A98">
      <w:pPr>
        <w:autoSpaceDE w:val="0"/>
        <w:autoSpaceDN w:val="0"/>
        <w:adjustRightInd w:val="0"/>
        <w:spacing w:after="0" w:line="240" w:lineRule="auto"/>
        <w:jc w:val="both"/>
        <w:rPr>
          <w:rFonts w:ascii="Arial" w:hAnsi="Arial" w:cs="Arial"/>
          <w:color w:val="000000"/>
          <w:lang w:val="uk-UA"/>
        </w:rPr>
      </w:pPr>
      <w:r w:rsidRPr="000326B3">
        <w:rPr>
          <w:rFonts w:ascii="Arial" w:hAnsi="Arial" w:cs="Arial"/>
          <w:b/>
          <w:color w:val="C00000"/>
        </w:rPr>
        <w:t>2. Належний процес включення пацієнта.</w:t>
      </w:r>
      <w:r w:rsidRPr="000326B3">
        <w:rPr>
          <w:rFonts w:ascii="Arial" w:hAnsi="Arial" w:cs="Arial"/>
          <w:color w:val="C00000"/>
        </w:rPr>
        <w:t xml:space="preserve"> </w:t>
      </w:r>
      <w:r w:rsidRPr="00CB57B9">
        <w:rPr>
          <w:rFonts w:ascii="Arial" w:hAnsi="Arial" w:cs="Arial"/>
          <w:color w:val="000000"/>
        </w:rPr>
        <w:t>Поточна рекомендація щодо використан</w:t>
      </w:r>
      <w:r>
        <w:rPr>
          <w:rFonts w:ascii="Arial" w:hAnsi="Arial" w:cs="Arial"/>
          <w:color w:val="000000"/>
        </w:rPr>
        <w:t>я бедаквілідну застосовується д</w:t>
      </w:r>
      <w:r>
        <w:rPr>
          <w:rFonts w:ascii="Arial" w:hAnsi="Arial" w:cs="Arial"/>
          <w:color w:val="000000"/>
          <w:lang w:val="uk-UA"/>
        </w:rPr>
        <w:t>ля</w:t>
      </w:r>
      <w:r w:rsidRPr="00CB57B9">
        <w:rPr>
          <w:rFonts w:ascii="Arial" w:hAnsi="Arial" w:cs="Arial"/>
          <w:color w:val="000000"/>
        </w:rPr>
        <w:t xml:space="preserve"> дорослих (≥18 років) з захворюваннями легенів. Особлива обережність необхідна, коли бедаквілін застосовується для осіб віком 65 років і старше, а також для дорослих, які живуть з ВІЛ, оскільки дані про ефективність та безпеку надзвичайно обмежені.</w:t>
      </w:r>
      <w:r>
        <w:rPr>
          <w:rFonts w:ascii="Arial" w:hAnsi="Arial" w:cs="Arial"/>
          <w:color w:val="000000"/>
          <w:lang w:val="uk-UA"/>
        </w:rPr>
        <w:t xml:space="preserve"> Застосування</w:t>
      </w:r>
      <w:r w:rsidRPr="003C6AD6">
        <w:rPr>
          <w:rFonts w:ascii="Arial" w:hAnsi="Arial" w:cs="Arial"/>
          <w:color w:val="000000"/>
          <w:lang w:val="uk-UA"/>
        </w:rPr>
        <w:t xml:space="preserve"> преп</w:t>
      </w:r>
      <w:r>
        <w:rPr>
          <w:rFonts w:ascii="Arial" w:hAnsi="Arial" w:cs="Arial"/>
          <w:color w:val="000000"/>
          <w:lang w:val="uk-UA"/>
        </w:rPr>
        <w:t>арату вагітними жінками та діть</w:t>
      </w:r>
      <w:r w:rsidRPr="003C6AD6">
        <w:rPr>
          <w:rFonts w:ascii="Arial" w:hAnsi="Arial" w:cs="Arial"/>
          <w:color w:val="000000"/>
          <w:lang w:val="uk-UA"/>
        </w:rPr>
        <w:t xml:space="preserve">ми не рекомендується через брак доказів </w:t>
      </w:r>
      <w:r>
        <w:rPr>
          <w:rFonts w:ascii="Arial" w:hAnsi="Arial" w:cs="Arial"/>
          <w:color w:val="000000"/>
          <w:lang w:val="uk-UA"/>
        </w:rPr>
        <w:t>про безпеку та ефективність</w:t>
      </w:r>
      <w:r w:rsidRPr="003C6AD6">
        <w:rPr>
          <w:rFonts w:ascii="Arial" w:hAnsi="Arial" w:cs="Arial"/>
          <w:color w:val="000000"/>
          <w:lang w:val="uk-UA"/>
        </w:rPr>
        <w:t xml:space="preserve">. Хоча пацієнти з позалегеневим захворюванням не були включені до </w:t>
      </w:r>
      <w:r>
        <w:rPr>
          <w:rFonts w:ascii="Arial" w:hAnsi="Arial" w:cs="Arial"/>
          <w:color w:val="000000"/>
          <w:lang w:val="uk-UA"/>
        </w:rPr>
        <w:t xml:space="preserve">клінічного </w:t>
      </w:r>
      <w:r w:rsidRPr="003C6AD6">
        <w:rPr>
          <w:rFonts w:ascii="Arial" w:hAnsi="Arial" w:cs="Arial"/>
          <w:color w:val="000000"/>
          <w:lang w:val="uk-UA"/>
        </w:rPr>
        <w:t>випробуван</w:t>
      </w:r>
      <w:r>
        <w:rPr>
          <w:rFonts w:ascii="Arial" w:hAnsi="Arial" w:cs="Arial"/>
          <w:color w:val="000000"/>
          <w:lang w:val="uk-UA"/>
        </w:rPr>
        <w:t>ня бедаквіліну, можна розглядати</w:t>
      </w:r>
      <w:r w:rsidRPr="003C6AD6">
        <w:rPr>
          <w:rFonts w:ascii="Arial" w:hAnsi="Arial" w:cs="Arial"/>
          <w:color w:val="000000"/>
          <w:lang w:val="uk-UA"/>
        </w:rPr>
        <w:t xml:space="preserve"> </w:t>
      </w:r>
      <w:r>
        <w:rPr>
          <w:rFonts w:ascii="Arial" w:hAnsi="Arial" w:cs="Arial"/>
          <w:color w:val="000000"/>
          <w:lang w:val="uk-UA"/>
        </w:rPr>
        <w:t>можливість застосування препарат</w:t>
      </w:r>
      <w:r w:rsidRPr="003C6AD6">
        <w:rPr>
          <w:rFonts w:ascii="Arial" w:hAnsi="Arial" w:cs="Arial"/>
          <w:color w:val="000000"/>
          <w:lang w:val="uk-UA"/>
        </w:rPr>
        <w:t>у пацієнтами з позалегене</w:t>
      </w:r>
      <w:r>
        <w:rPr>
          <w:rFonts w:ascii="Arial" w:hAnsi="Arial" w:cs="Arial"/>
          <w:color w:val="000000"/>
          <w:lang w:val="uk-UA"/>
        </w:rPr>
        <w:t>вим туберкульозом засновуючись на відомих даних</w:t>
      </w:r>
      <w:r w:rsidRPr="003C6AD6">
        <w:rPr>
          <w:rFonts w:ascii="Arial" w:hAnsi="Arial" w:cs="Arial"/>
          <w:color w:val="000000"/>
          <w:lang w:val="uk-UA"/>
        </w:rPr>
        <w:t xml:space="preserve"> </w:t>
      </w:r>
      <w:r>
        <w:rPr>
          <w:rFonts w:ascii="Arial" w:hAnsi="Arial" w:cs="Arial"/>
          <w:color w:val="000000"/>
          <w:lang w:val="uk-UA"/>
        </w:rPr>
        <w:t xml:space="preserve">щодо його застосування у </w:t>
      </w:r>
      <w:r w:rsidRPr="003C6AD6">
        <w:rPr>
          <w:rFonts w:ascii="Arial" w:hAnsi="Arial" w:cs="Arial"/>
          <w:color w:val="000000"/>
          <w:lang w:val="uk-UA"/>
        </w:rPr>
        <w:t>пацієнтів з туберкульозом легенів.</w:t>
      </w:r>
    </w:p>
    <w:p w14:paraId="3260A3E6" w14:textId="77777777" w:rsidR="00581A98" w:rsidRPr="00D81B66" w:rsidRDefault="00581A98" w:rsidP="00581A98">
      <w:pPr>
        <w:autoSpaceDE w:val="0"/>
        <w:autoSpaceDN w:val="0"/>
        <w:adjustRightInd w:val="0"/>
        <w:spacing w:after="0" w:line="240" w:lineRule="auto"/>
        <w:jc w:val="both"/>
        <w:rPr>
          <w:rFonts w:ascii="Arial" w:hAnsi="Arial" w:cs="Arial"/>
          <w:color w:val="6A2041"/>
          <w:lang w:val="uk-UA"/>
        </w:rPr>
      </w:pPr>
    </w:p>
    <w:p w14:paraId="407C816D" w14:textId="69715C04" w:rsidR="00581A98" w:rsidRDefault="00581A98" w:rsidP="00581A98">
      <w:pPr>
        <w:autoSpaceDE w:val="0"/>
        <w:autoSpaceDN w:val="0"/>
        <w:adjustRightInd w:val="0"/>
        <w:spacing w:after="0" w:line="240" w:lineRule="auto"/>
        <w:jc w:val="both"/>
        <w:rPr>
          <w:rFonts w:ascii="Arial" w:hAnsi="Arial" w:cs="Arial"/>
          <w:color w:val="000000"/>
          <w:lang w:val="uk-UA"/>
        </w:rPr>
      </w:pPr>
      <w:r w:rsidRPr="000326B3">
        <w:rPr>
          <w:rFonts w:ascii="Arial" w:hAnsi="Arial" w:cs="Arial"/>
          <w:b/>
          <w:color w:val="C00000"/>
        </w:rPr>
        <w:t>3. Отримання інформованої згоди пацієнта на участь</w:t>
      </w:r>
      <w:r w:rsidRPr="00AF72C4">
        <w:rPr>
          <w:rFonts w:ascii="Arial" w:hAnsi="Arial" w:cs="Arial"/>
          <w:b/>
          <w:color w:val="000000"/>
        </w:rPr>
        <w:t>.</w:t>
      </w:r>
      <w:r w:rsidRPr="00AF72C4">
        <w:rPr>
          <w:rFonts w:ascii="Arial" w:hAnsi="Arial" w:cs="Arial"/>
          <w:color w:val="000000"/>
        </w:rPr>
        <w:t xml:space="preserve"> Постачальники медичних послуг повинні забезпечити</w:t>
      </w:r>
      <w:r>
        <w:rPr>
          <w:rFonts w:ascii="Arial" w:hAnsi="Arial" w:cs="Arial"/>
          <w:color w:val="000000"/>
        </w:rPr>
        <w:t xml:space="preserve"> наступне: пацієнт повинен</w:t>
      </w:r>
      <w:r w:rsidRPr="00AF72C4">
        <w:rPr>
          <w:rFonts w:ascii="Arial" w:hAnsi="Arial" w:cs="Arial"/>
          <w:color w:val="000000"/>
        </w:rPr>
        <w:t xml:space="preserve"> (</w:t>
      </w:r>
      <w:r w:rsidRPr="00AF72C4">
        <w:rPr>
          <w:rFonts w:ascii="Arial" w:hAnsi="Arial" w:cs="Arial"/>
          <w:color w:val="000000"/>
          <w:lang w:val="en-US"/>
        </w:rPr>
        <w:t>i</w:t>
      </w:r>
      <w:r>
        <w:rPr>
          <w:rFonts w:ascii="Arial" w:hAnsi="Arial" w:cs="Arial"/>
          <w:color w:val="000000"/>
        </w:rPr>
        <w:t>) знати про</w:t>
      </w:r>
      <w:r w:rsidRPr="00AF72C4">
        <w:rPr>
          <w:rFonts w:ascii="Arial" w:hAnsi="Arial" w:cs="Arial"/>
          <w:color w:val="000000"/>
        </w:rPr>
        <w:t xml:space="preserve"> новий препарат - бедаквілін; (</w:t>
      </w:r>
      <w:r w:rsidRPr="00AF72C4">
        <w:rPr>
          <w:rFonts w:ascii="Arial" w:hAnsi="Arial" w:cs="Arial"/>
          <w:color w:val="000000"/>
          <w:lang w:val="en-US"/>
        </w:rPr>
        <w:t>ii</w:t>
      </w:r>
      <w:r>
        <w:rPr>
          <w:rFonts w:ascii="Arial" w:hAnsi="Arial" w:cs="Arial"/>
          <w:color w:val="000000"/>
        </w:rPr>
        <w:t>) розуміти</w:t>
      </w:r>
      <w:r w:rsidRPr="00AF72C4">
        <w:rPr>
          <w:rFonts w:ascii="Arial" w:hAnsi="Arial" w:cs="Arial"/>
          <w:color w:val="000000"/>
        </w:rPr>
        <w:t xml:space="preserve"> причину, чому пропонується включити препарат до схеми лікування;</w:t>
      </w:r>
      <w:r>
        <w:rPr>
          <w:rFonts w:ascii="Arial" w:hAnsi="Arial" w:cs="Arial"/>
          <w:color w:val="000000"/>
          <w:lang w:val="uk-UA"/>
        </w:rPr>
        <w:t xml:space="preserve"> та (iii) розуміти </w:t>
      </w:r>
      <w:r w:rsidR="0000407D">
        <w:rPr>
          <w:rFonts w:ascii="Arial" w:hAnsi="Arial" w:cs="Arial"/>
          <w:color w:val="000000"/>
          <w:lang w:val="uk-UA"/>
        </w:rPr>
        <w:t>користь</w:t>
      </w:r>
      <w:r w:rsidRPr="00262B30">
        <w:rPr>
          <w:rFonts w:ascii="Arial" w:hAnsi="Arial" w:cs="Arial"/>
          <w:color w:val="000000"/>
          <w:lang w:val="uk-UA"/>
        </w:rPr>
        <w:t xml:space="preserve"> та потенційну шкоду</w:t>
      </w:r>
      <w:r>
        <w:rPr>
          <w:rFonts w:ascii="Arial" w:hAnsi="Arial" w:cs="Arial"/>
          <w:color w:val="000000"/>
          <w:lang w:val="uk-UA"/>
        </w:rPr>
        <w:t xml:space="preserve"> від застосування препарату</w:t>
      </w:r>
      <w:r w:rsidRPr="00262B30">
        <w:rPr>
          <w:rFonts w:ascii="Arial" w:hAnsi="Arial" w:cs="Arial"/>
          <w:color w:val="000000"/>
          <w:lang w:val="uk-UA"/>
        </w:rPr>
        <w:t>. Крім того, працівники охорони здоров'я повинні отримати згоду пац</w:t>
      </w:r>
      <w:r>
        <w:rPr>
          <w:rFonts w:ascii="Arial" w:hAnsi="Arial" w:cs="Arial"/>
          <w:color w:val="000000"/>
          <w:lang w:val="uk-UA"/>
        </w:rPr>
        <w:t>ієнта на включення бедаквіліну до прописаного</w:t>
      </w:r>
      <w:r w:rsidRPr="00262B30">
        <w:rPr>
          <w:rFonts w:ascii="Arial" w:hAnsi="Arial" w:cs="Arial"/>
          <w:color w:val="000000"/>
          <w:lang w:val="uk-UA"/>
        </w:rPr>
        <w:t xml:space="preserve"> режим</w:t>
      </w:r>
      <w:r>
        <w:rPr>
          <w:rFonts w:ascii="Arial" w:hAnsi="Arial" w:cs="Arial"/>
          <w:color w:val="000000"/>
          <w:lang w:val="uk-UA"/>
        </w:rPr>
        <w:t>у</w:t>
      </w:r>
      <w:r w:rsidRPr="00262B30">
        <w:rPr>
          <w:rFonts w:ascii="Arial" w:hAnsi="Arial" w:cs="Arial"/>
          <w:color w:val="000000"/>
          <w:lang w:val="uk-UA"/>
        </w:rPr>
        <w:t xml:space="preserve"> лікування. Цей процес інформованої згоди повинен бути </w:t>
      </w:r>
      <w:r w:rsidRPr="00262B30">
        <w:rPr>
          <w:rFonts w:ascii="Arial" w:hAnsi="Arial" w:cs="Arial"/>
          <w:color w:val="000000"/>
          <w:lang w:val="uk-UA"/>
        </w:rPr>
        <w:lastRenderedPageBreak/>
        <w:t>задокументов</w:t>
      </w:r>
      <w:r>
        <w:rPr>
          <w:rFonts w:ascii="Arial" w:hAnsi="Arial" w:cs="Arial"/>
          <w:color w:val="000000"/>
          <w:lang w:val="uk-UA"/>
        </w:rPr>
        <w:t>аний та підписаний пацієнтом, і</w:t>
      </w:r>
      <w:r w:rsidRPr="00262B30">
        <w:rPr>
          <w:rFonts w:ascii="Arial" w:hAnsi="Arial" w:cs="Arial"/>
          <w:color w:val="000000"/>
          <w:lang w:val="uk-UA"/>
        </w:rPr>
        <w:t xml:space="preserve"> </w:t>
      </w:r>
      <w:r>
        <w:rPr>
          <w:rFonts w:ascii="Arial" w:hAnsi="Arial" w:cs="Arial"/>
          <w:color w:val="000000"/>
          <w:lang w:val="uk-UA"/>
        </w:rPr>
        <w:t xml:space="preserve">повинен </w:t>
      </w:r>
      <w:r w:rsidRPr="00262B30">
        <w:rPr>
          <w:rFonts w:ascii="Arial" w:hAnsi="Arial" w:cs="Arial"/>
          <w:color w:val="000000"/>
          <w:lang w:val="uk-UA"/>
        </w:rPr>
        <w:t xml:space="preserve">застосовуватися </w:t>
      </w:r>
      <w:r>
        <w:rPr>
          <w:rFonts w:ascii="Arial" w:hAnsi="Arial" w:cs="Arial"/>
          <w:color w:val="000000"/>
          <w:lang w:val="uk-UA"/>
        </w:rPr>
        <w:t>у всіх ситуаціях, коли буде призначатися бедаквілін</w:t>
      </w:r>
      <w:r w:rsidRPr="00262B30">
        <w:rPr>
          <w:rFonts w:ascii="Arial" w:hAnsi="Arial" w:cs="Arial"/>
          <w:color w:val="000000"/>
          <w:lang w:val="uk-UA"/>
        </w:rPr>
        <w:t>, в тому числі</w:t>
      </w:r>
      <w:r>
        <w:rPr>
          <w:rFonts w:ascii="Arial" w:hAnsi="Arial" w:cs="Arial"/>
          <w:color w:val="000000"/>
          <w:lang w:val="uk-UA"/>
        </w:rPr>
        <w:t>,</w:t>
      </w:r>
      <w:r w:rsidRPr="00262B30">
        <w:rPr>
          <w:rFonts w:ascii="Arial" w:hAnsi="Arial" w:cs="Arial"/>
          <w:color w:val="000000"/>
          <w:lang w:val="uk-UA"/>
        </w:rPr>
        <w:t xml:space="preserve"> в рамках </w:t>
      </w:r>
      <w:r>
        <w:rPr>
          <w:rFonts w:ascii="Arial" w:hAnsi="Arial" w:cs="Arial"/>
          <w:color w:val="000000"/>
          <w:lang w:val="uk-UA"/>
        </w:rPr>
        <w:t>програм</w:t>
      </w:r>
      <w:r w:rsidRPr="00D81B66">
        <w:rPr>
          <w:rFonts w:ascii="Arial" w:hAnsi="Arial" w:cs="Arial"/>
          <w:color w:val="000000"/>
          <w:lang w:val="uk-UA"/>
        </w:rPr>
        <w:t xml:space="preserve"> благодійно-випробувального застосування</w:t>
      </w:r>
    </w:p>
    <w:p w14:paraId="037E0865" w14:textId="77777777" w:rsidR="00581A98" w:rsidRDefault="00581A98" w:rsidP="00581A98">
      <w:pPr>
        <w:autoSpaceDE w:val="0"/>
        <w:autoSpaceDN w:val="0"/>
        <w:adjustRightInd w:val="0"/>
        <w:spacing w:after="0" w:line="240" w:lineRule="auto"/>
        <w:jc w:val="both"/>
        <w:rPr>
          <w:rFonts w:ascii="Arial" w:hAnsi="Arial" w:cs="Arial"/>
          <w:b/>
          <w:bCs/>
          <w:color w:val="000000"/>
          <w:lang w:val="uk-UA"/>
        </w:rPr>
      </w:pPr>
    </w:p>
    <w:p w14:paraId="1514BD59" w14:textId="77777777" w:rsidR="00581A98" w:rsidRDefault="00581A98" w:rsidP="00581A98">
      <w:pPr>
        <w:autoSpaceDE w:val="0"/>
        <w:autoSpaceDN w:val="0"/>
        <w:adjustRightInd w:val="0"/>
        <w:spacing w:after="0" w:line="240" w:lineRule="auto"/>
        <w:jc w:val="both"/>
        <w:rPr>
          <w:rFonts w:ascii="Arial" w:hAnsi="Arial" w:cs="Arial"/>
          <w:color w:val="000000"/>
          <w:lang w:val="uk-UA"/>
        </w:rPr>
      </w:pPr>
      <w:r w:rsidRPr="00D81B66">
        <w:rPr>
          <w:rFonts w:ascii="Arial" w:hAnsi="Arial" w:cs="Arial"/>
          <w:b/>
          <w:bCs/>
          <w:color w:val="6A2041"/>
          <w:lang w:val="uk-UA"/>
        </w:rPr>
        <w:t>4</w:t>
      </w:r>
      <w:r w:rsidRPr="000326B3">
        <w:rPr>
          <w:rFonts w:ascii="Arial" w:hAnsi="Arial" w:cs="Arial"/>
          <w:b/>
          <w:bCs/>
          <w:color w:val="C00000"/>
          <w:lang w:val="uk-UA"/>
        </w:rPr>
        <w:t xml:space="preserve">. Дотримання принципів розробки режиму лікування МР ТБ, рекомендованого ВООЗ. </w:t>
      </w:r>
    </w:p>
    <w:p w14:paraId="57B0AAB7" w14:textId="77777777" w:rsidR="00581A98" w:rsidRDefault="00581A98" w:rsidP="00581A98">
      <w:pPr>
        <w:autoSpaceDE w:val="0"/>
        <w:autoSpaceDN w:val="0"/>
        <w:adjustRightInd w:val="0"/>
        <w:spacing w:after="0" w:line="240" w:lineRule="auto"/>
        <w:jc w:val="both"/>
        <w:rPr>
          <w:rFonts w:ascii="Arial" w:hAnsi="Arial" w:cs="Arial"/>
          <w:color w:val="000000"/>
          <w:lang w:val="uk-UA"/>
        </w:rPr>
      </w:pPr>
      <w:r w:rsidRPr="00931527">
        <w:rPr>
          <w:rFonts w:ascii="Arial" w:hAnsi="Arial" w:cs="Arial"/>
          <w:color w:val="000000"/>
          <w:lang w:val="uk-UA"/>
        </w:rPr>
        <w:t xml:space="preserve">Оскільки залишається невизначеність стосовно </w:t>
      </w:r>
      <w:r>
        <w:rPr>
          <w:rFonts w:ascii="Arial" w:hAnsi="Arial" w:cs="Arial"/>
          <w:color w:val="000000"/>
          <w:lang w:val="uk-UA"/>
        </w:rPr>
        <w:t>відповідної користі</w:t>
      </w:r>
      <w:r w:rsidRPr="00931527">
        <w:rPr>
          <w:rFonts w:ascii="Arial" w:hAnsi="Arial" w:cs="Arial"/>
          <w:color w:val="000000"/>
          <w:lang w:val="uk-UA"/>
        </w:rPr>
        <w:t xml:space="preserve"> та шкоди</w:t>
      </w:r>
      <w:r>
        <w:rPr>
          <w:rFonts w:ascii="Arial" w:hAnsi="Arial" w:cs="Arial"/>
          <w:color w:val="000000"/>
          <w:lang w:val="uk-UA"/>
        </w:rPr>
        <w:t xml:space="preserve"> від застосування</w:t>
      </w:r>
      <w:r w:rsidRPr="00931527">
        <w:rPr>
          <w:rFonts w:ascii="Arial" w:hAnsi="Arial" w:cs="Arial"/>
          <w:color w:val="000000"/>
          <w:lang w:val="uk-UA"/>
        </w:rPr>
        <w:t xml:space="preserve"> бедаквіліну, слід проявляти обережність, коли ще існують інші варіанти розробки ефективного режиму лікування </w:t>
      </w:r>
      <w:r>
        <w:rPr>
          <w:rFonts w:ascii="Arial" w:hAnsi="Arial" w:cs="Arial"/>
          <w:color w:val="000000"/>
          <w:lang w:val="uk-UA"/>
        </w:rPr>
        <w:t>МР ТБ</w:t>
      </w:r>
      <w:r w:rsidRPr="00931527">
        <w:rPr>
          <w:rFonts w:ascii="Arial" w:hAnsi="Arial" w:cs="Arial"/>
          <w:color w:val="000000"/>
          <w:lang w:val="uk-UA"/>
        </w:rPr>
        <w:t xml:space="preserve"> з </w:t>
      </w:r>
      <w:r>
        <w:rPr>
          <w:rFonts w:ascii="Arial" w:hAnsi="Arial" w:cs="Arial"/>
          <w:color w:val="000000"/>
          <w:lang w:val="uk-UA"/>
        </w:rPr>
        <w:t>застосування</w:t>
      </w:r>
      <w:r w:rsidRPr="00931527">
        <w:rPr>
          <w:rFonts w:ascii="Arial" w:hAnsi="Arial" w:cs="Arial"/>
          <w:color w:val="000000"/>
          <w:lang w:val="uk-UA"/>
        </w:rPr>
        <w:t>м з</w:t>
      </w:r>
      <w:r>
        <w:rPr>
          <w:rFonts w:ascii="Arial" w:hAnsi="Arial" w:cs="Arial"/>
          <w:color w:val="000000"/>
          <w:lang w:val="uk-UA"/>
        </w:rPr>
        <w:t>вичайних препаратів другого ряду</w:t>
      </w:r>
      <w:r w:rsidRPr="00931527">
        <w:rPr>
          <w:rFonts w:ascii="Arial" w:hAnsi="Arial" w:cs="Arial"/>
          <w:color w:val="000000"/>
          <w:lang w:val="uk-UA"/>
        </w:rPr>
        <w:t xml:space="preserve">. </w:t>
      </w:r>
      <w:r w:rsidRPr="00E60283">
        <w:rPr>
          <w:rFonts w:ascii="Arial" w:hAnsi="Arial" w:cs="Arial"/>
          <w:color w:val="000000"/>
          <w:lang w:val="uk-UA"/>
        </w:rPr>
        <w:t xml:space="preserve">Крім того, слід враховувати недоліки традиційного </w:t>
      </w:r>
      <w:r>
        <w:rPr>
          <w:rFonts w:ascii="Arial" w:hAnsi="Arial" w:cs="Arial"/>
          <w:color w:val="000000"/>
          <w:lang w:val="uk-UA"/>
        </w:rPr>
        <w:t xml:space="preserve">ТМЧ для  </w:t>
      </w:r>
      <w:r w:rsidRPr="00E60283">
        <w:rPr>
          <w:rFonts w:ascii="Arial" w:hAnsi="Arial" w:cs="Arial"/>
          <w:color w:val="000000"/>
          <w:lang w:val="uk-UA"/>
        </w:rPr>
        <w:t>протитуберкульозних препаратів</w:t>
      </w:r>
      <w:r>
        <w:rPr>
          <w:rFonts w:ascii="Arial" w:hAnsi="Arial" w:cs="Arial"/>
          <w:color w:val="000000"/>
          <w:lang w:val="uk-UA"/>
        </w:rPr>
        <w:t xml:space="preserve"> другого ряду</w:t>
      </w:r>
      <w:r w:rsidRPr="00E60283">
        <w:rPr>
          <w:rFonts w:ascii="Arial" w:hAnsi="Arial" w:cs="Arial"/>
          <w:color w:val="000000"/>
          <w:lang w:val="uk-UA"/>
        </w:rPr>
        <w:t xml:space="preserve">: </w:t>
      </w:r>
      <w:r>
        <w:rPr>
          <w:rFonts w:ascii="Arial" w:hAnsi="Arial" w:cs="Arial"/>
          <w:color w:val="000000"/>
          <w:lang w:val="uk-UA"/>
        </w:rPr>
        <w:t xml:space="preserve">ТМЧ до препаратів другого ряду </w:t>
      </w:r>
      <w:r w:rsidRPr="00E60283">
        <w:rPr>
          <w:rFonts w:ascii="Arial" w:hAnsi="Arial" w:cs="Arial"/>
          <w:color w:val="000000"/>
          <w:lang w:val="uk-UA"/>
        </w:rPr>
        <w:t>вваж</w:t>
      </w:r>
      <w:r>
        <w:rPr>
          <w:rFonts w:ascii="Arial" w:hAnsi="Arial" w:cs="Arial"/>
          <w:color w:val="000000"/>
          <w:lang w:val="uk-UA"/>
        </w:rPr>
        <w:t xml:space="preserve">ається точним і репродуктивним </w:t>
      </w:r>
      <w:r w:rsidRPr="00E60283">
        <w:rPr>
          <w:rFonts w:ascii="Arial" w:hAnsi="Arial" w:cs="Arial"/>
          <w:color w:val="000000"/>
          <w:lang w:val="uk-UA"/>
        </w:rPr>
        <w:t>лише для фторхінолонів, аміноглікозидів (канамицин, амікацин) та капреоміцину (поліпептид).</w:t>
      </w:r>
    </w:p>
    <w:p w14:paraId="160BDE36" w14:textId="77777777" w:rsidR="00183A2E" w:rsidRDefault="00183A2E" w:rsidP="00183A2E">
      <w:pPr>
        <w:autoSpaceDE w:val="0"/>
        <w:autoSpaceDN w:val="0"/>
        <w:adjustRightInd w:val="0"/>
        <w:spacing w:after="0" w:line="240" w:lineRule="auto"/>
        <w:jc w:val="both"/>
        <w:rPr>
          <w:rFonts w:ascii="Arial" w:hAnsi="Arial" w:cs="Arial"/>
          <w:color w:val="000000"/>
          <w:lang w:val="uk-UA"/>
        </w:rPr>
      </w:pPr>
    </w:p>
    <w:p w14:paraId="11501836" w14:textId="7F4F4D51" w:rsidR="00581A98" w:rsidRPr="00183A2E" w:rsidRDefault="00183A2E" w:rsidP="00183A2E">
      <w:pPr>
        <w:autoSpaceDE w:val="0"/>
        <w:autoSpaceDN w:val="0"/>
        <w:adjustRightInd w:val="0"/>
        <w:spacing w:after="0" w:line="240" w:lineRule="auto"/>
        <w:jc w:val="both"/>
        <w:rPr>
          <w:rFonts w:ascii="Arial" w:hAnsi="Arial" w:cs="Arial"/>
          <w:color w:val="000000"/>
          <w:lang w:val="uk-UA"/>
        </w:rPr>
      </w:pPr>
      <w:r w:rsidRPr="00183A2E">
        <w:rPr>
          <w:rFonts w:ascii="Arial" w:hAnsi="Arial" w:cs="Arial"/>
          <w:b/>
          <w:color w:val="000000"/>
          <w:lang w:val="uk-UA"/>
        </w:rPr>
        <w:t>а.</w:t>
      </w:r>
      <w:r w:rsidRPr="00183A2E">
        <w:rPr>
          <w:rFonts w:ascii="Arial" w:hAnsi="Arial" w:cs="Arial"/>
          <w:color w:val="000000"/>
          <w:lang w:val="uk-UA"/>
        </w:rPr>
        <w:t xml:space="preserve"> </w:t>
      </w:r>
      <w:r w:rsidR="00581A98" w:rsidRPr="00183A2E">
        <w:rPr>
          <w:rFonts w:ascii="Arial" w:hAnsi="Arial" w:cs="Arial"/>
          <w:color w:val="000000"/>
          <w:lang w:val="uk-UA"/>
        </w:rPr>
        <w:t>Рекомендована ВООЗ схема лікування МР ТБ, як правило, складається, принаймні, з піразинаміду та чотирьох лікарських препаратів другого ряду, які вважаються ефективними (на підставі ТМЧ та/або даних стосовно попереднього застосування та/або  спостереження резистентності до ліків): фторхінолон (бажано більш пізнього покоління), ін'єкційний препарат другого ряду та два бактеріостатичні препарати, переважно протіонамід або етіонамід плюс циклосерин або р-аміносаліцилова кислота. Бедаквілін може бути призначений, якщо такий режим неможливий через:</w:t>
      </w:r>
    </w:p>
    <w:p w14:paraId="48BD9BBE" w14:textId="77777777" w:rsidR="00581A98" w:rsidRPr="00D0783A" w:rsidRDefault="00581A98" w:rsidP="00581A98">
      <w:pPr>
        <w:pStyle w:val="ad"/>
        <w:autoSpaceDE w:val="0"/>
        <w:autoSpaceDN w:val="0"/>
        <w:adjustRightInd w:val="0"/>
        <w:spacing w:after="0" w:line="240" w:lineRule="auto"/>
        <w:ind w:left="1068"/>
        <w:jc w:val="both"/>
        <w:rPr>
          <w:rFonts w:ascii="Arial" w:hAnsi="Arial" w:cs="Arial"/>
          <w:color w:val="000000"/>
          <w:lang w:val="uk-UA"/>
        </w:rPr>
      </w:pPr>
    </w:p>
    <w:p w14:paraId="2D0CB6D8" w14:textId="77777777" w:rsidR="00581A98" w:rsidRPr="001C54B3" w:rsidRDefault="00581A98" w:rsidP="00581A98">
      <w:pPr>
        <w:autoSpaceDE w:val="0"/>
        <w:autoSpaceDN w:val="0"/>
        <w:adjustRightInd w:val="0"/>
        <w:spacing w:after="0" w:line="240" w:lineRule="auto"/>
        <w:ind w:left="1416"/>
        <w:jc w:val="both"/>
        <w:outlineLvl w:val="0"/>
        <w:rPr>
          <w:rFonts w:ascii="Arial" w:hAnsi="Arial" w:cs="Arial"/>
          <w:color w:val="000000"/>
          <w:lang w:val="uk-UA"/>
        </w:rPr>
      </w:pPr>
      <w:r w:rsidRPr="001C54B3">
        <w:rPr>
          <w:rFonts w:ascii="Arial" w:hAnsi="Arial" w:cs="Arial"/>
          <w:color w:val="000000"/>
          <w:lang w:val="uk-UA"/>
        </w:rPr>
        <w:t xml:space="preserve">i) стійкість до лікарського засобу </w:t>
      </w:r>
      <w:r w:rsidRPr="009E0EEB">
        <w:rPr>
          <w:rFonts w:ascii="Arial" w:hAnsi="Arial" w:cs="Arial"/>
          <w:i/>
          <w:color w:val="000000"/>
          <w:lang w:val="uk-UA"/>
        </w:rPr>
        <w:t>in vitro</w:t>
      </w:r>
      <w:r w:rsidRPr="009E0EEB">
        <w:rPr>
          <w:rFonts w:ascii="Arial" w:hAnsi="Arial" w:cs="Arial"/>
          <w:color w:val="000000"/>
          <w:lang w:val="uk-UA"/>
        </w:rPr>
        <w:t xml:space="preserve"> </w:t>
      </w:r>
      <w:r>
        <w:rPr>
          <w:rFonts w:ascii="Arial" w:hAnsi="Arial" w:cs="Arial"/>
          <w:color w:val="000000"/>
          <w:lang w:val="uk-UA"/>
        </w:rPr>
        <w:t>(див. б та в</w:t>
      </w:r>
      <w:r w:rsidRPr="001C54B3">
        <w:rPr>
          <w:rFonts w:ascii="Arial" w:hAnsi="Arial" w:cs="Arial"/>
          <w:color w:val="000000"/>
          <w:lang w:val="uk-UA"/>
        </w:rPr>
        <w:t xml:space="preserve"> нижче);</w:t>
      </w:r>
    </w:p>
    <w:p w14:paraId="5BCF48BF" w14:textId="77777777" w:rsidR="00581A98" w:rsidRPr="001C54B3" w:rsidRDefault="00581A98" w:rsidP="00581A98">
      <w:pPr>
        <w:autoSpaceDE w:val="0"/>
        <w:autoSpaceDN w:val="0"/>
        <w:adjustRightInd w:val="0"/>
        <w:spacing w:after="0" w:line="240" w:lineRule="auto"/>
        <w:ind w:left="1416"/>
        <w:jc w:val="both"/>
        <w:rPr>
          <w:rFonts w:ascii="Arial" w:hAnsi="Arial" w:cs="Arial"/>
          <w:color w:val="000000"/>
          <w:lang w:val="uk-UA"/>
        </w:rPr>
      </w:pPr>
      <w:r w:rsidRPr="001C54B3">
        <w:rPr>
          <w:rFonts w:ascii="Arial" w:hAnsi="Arial" w:cs="Arial"/>
          <w:color w:val="000000"/>
          <w:lang w:val="uk-UA"/>
        </w:rPr>
        <w:t>іі) відомі побічні реації на препарат, низька переносимість або протипоказання до будь-якого компонента комбінованої схеми; або</w:t>
      </w:r>
    </w:p>
    <w:p w14:paraId="3A269DC8" w14:textId="77777777" w:rsidR="00581A98" w:rsidRPr="001C54B3" w:rsidRDefault="00581A98" w:rsidP="00581A98">
      <w:pPr>
        <w:autoSpaceDE w:val="0"/>
        <w:autoSpaceDN w:val="0"/>
        <w:adjustRightInd w:val="0"/>
        <w:spacing w:after="0" w:line="240" w:lineRule="auto"/>
        <w:ind w:left="1416"/>
        <w:jc w:val="both"/>
        <w:outlineLvl w:val="0"/>
        <w:rPr>
          <w:rFonts w:ascii="Arial" w:hAnsi="Arial" w:cs="Arial"/>
          <w:color w:val="000000"/>
          <w:lang w:val="uk-UA"/>
        </w:rPr>
      </w:pPr>
      <w:r w:rsidRPr="001C54B3">
        <w:rPr>
          <w:rFonts w:ascii="Arial" w:hAnsi="Arial" w:cs="Arial"/>
          <w:color w:val="000000"/>
          <w:lang w:val="uk-UA"/>
        </w:rPr>
        <w:t>iii) недоступність або відс</w:t>
      </w:r>
      <w:r>
        <w:rPr>
          <w:rFonts w:ascii="Arial" w:hAnsi="Arial" w:cs="Arial"/>
          <w:color w:val="000000"/>
          <w:lang w:val="uk-UA"/>
        </w:rPr>
        <w:t xml:space="preserve">утність гарантовано якісного </w:t>
      </w:r>
      <w:r w:rsidRPr="001C54B3">
        <w:rPr>
          <w:rFonts w:ascii="Arial" w:hAnsi="Arial" w:cs="Arial"/>
          <w:color w:val="000000"/>
          <w:lang w:val="uk-UA"/>
        </w:rPr>
        <w:t>лікарського препарату.</w:t>
      </w:r>
    </w:p>
    <w:p w14:paraId="60588818" w14:textId="77777777" w:rsidR="00183A2E" w:rsidRDefault="00183A2E" w:rsidP="00183A2E">
      <w:pPr>
        <w:autoSpaceDE w:val="0"/>
        <w:autoSpaceDN w:val="0"/>
        <w:adjustRightInd w:val="0"/>
        <w:spacing w:after="0" w:line="240" w:lineRule="auto"/>
        <w:jc w:val="both"/>
        <w:rPr>
          <w:rFonts w:ascii="Arial" w:hAnsi="Arial" w:cs="Arial"/>
          <w:color w:val="000000"/>
        </w:rPr>
      </w:pPr>
    </w:p>
    <w:p w14:paraId="1ECFEE72" w14:textId="77777777" w:rsidR="00581A98" w:rsidRPr="00561D7F" w:rsidRDefault="00581A98" w:rsidP="00183A2E">
      <w:pPr>
        <w:autoSpaceDE w:val="0"/>
        <w:autoSpaceDN w:val="0"/>
        <w:adjustRightInd w:val="0"/>
        <w:spacing w:after="0" w:line="240" w:lineRule="auto"/>
        <w:jc w:val="both"/>
        <w:rPr>
          <w:rFonts w:ascii="Arial" w:hAnsi="Arial" w:cs="Arial"/>
          <w:color w:val="000000"/>
        </w:rPr>
      </w:pPr>
      <w:r w:rsidRPr="00183A2E">
        <w:rPr>
          <w:rFonts w:ascii="Arial" w:hAnsi="Arial" w:cs="Arial"/>
          <w:b/>
          <w:color w:val="000000"/>
          <w:lang w:val="en-US"/>
        </w:rPr>
        <w:t>б</w:t>
      </w:r>
      <w:r w:rsidRPr="00183A2E">
        <w:rPr>
          <w:rFonts w:ascii="Arial" w:hAnsi="Arial" w:cs="Arial"/>
          <w:b/>
          <w:color w:val="000000"/>
        </w:rPr>
        <w:t>.</w:t>
      </w:r>
      <w:r w:rsidRPr="00561D7F">
        <w:rPr>
          <w:rFonts w:ascii="Arial" w:hAnsi="Arial" w:cs="Arial"/>
          <w:color w:val="000000"/>
        </w:rPr>
        <w:t xml:space="preserve"> Пацієнти з </w:t>
      </w:r>
      <w:r>
        <w:rPr>
          <w:rFonts w:ascii="Arial" w:hAnsi="Arial" w:cs="Arial"/>
          <w:color w:val="000000"/>
        </w:rPr>
        <w:t>МР ТБ зі штам</w:t>
      </w:r>
      <w:r w:rsidRPr="00561D7F">
        <w:rPr>
          <w:rFonts w:ascii="Arial" w:hAnsi="Arial" w:cs="Arial"/>
          <w:color w:val="000000"/>
        </w:rPr>
        <w:t>ами, стійкими до фторхінолонів а</w:t>
      </w:r>
      <w:r>
        <w:rPr>
          <w:rFonts w:ascii="Arial" w:hAnsi="Arial" w:cs="Arial"/>
          <w:color w:val="000000"/>
        </w:rPr>
        <w:t>бо ін'єкційних препаратів другого ряду (канамі</w:t>
      </w:r>
      <w:r w:rsidRPr="00561D7F">
        <w:rPr>
          <w:rFonts w:ascii="Arial" w:hAnsi="Arial" w:cs="Arial"/>
          <w:color w:val="000000"/>
        </w:rPr>
        <w:t xml:space="preserve">цин, амікацин, капреоміцин) представляють особливу стурбованість з огляду на те, що це два найбільш ефективних класи препаратів </w:t>
      </w:r>
      <w:r>
        <w:rPr>
          <w:rFonts w:ascii="Arial" w:hAnsi="Arial" w:cs="Arial"/>
          <w:color w:val="000000"/>
        </w:rPr>
        <w:t>другого ряду</w:t>
      </w:r>
      <w:r w:rsidRPr="00561D7F">
        <w:rPr>
          <w:rFonts w:ascii="Arial" w:hAnsi="Arial" w:cs="Arial"/>
          <w:color w:val="000000"/>
        </w:rPr>
        <w:t>. У таких випадках бедаквілін може відігравати вирішальну роль у підсиленні режиму, і може при</w:t>
      </w:r>
      <w:r>
        <w:rPr>
          <w:rFonts w:ascii="Arial" w:hAnsi="Arial" w:cs="Arial"/>
          <w:color w:val="000000"/>
        </w:rPr>
        <w:t xml:space="preserve">звести до застосування мінімум </w:t>
      </w:r>
      <w:r w:rsidRPr="00561D7F">
        <w:rPr>
          <w:rFonts w:ascii="Arial" w:hAnsi="Arial" w:cs="Arial"/>
          <w:color w:val="000000"/>
        </w:rPr>
        <w:t>чотирьох препаратів, які</w:t>
      </w:r>
      <w:r>
        <w:rPr>
          <w:rFonts w:ascii="Arial" w:hAnsi="Arial" w:cs="Arial"/>
          <w:color w:val="000000"/>
          <w:lang w:val="uk-UA"/>
        </w:rPr>
        <w:t>,</w:t>
      </w:r>
      <w:r w:rsidRPr="00561D7F">
        <w:rPr>
          <w:rFonts w:ascii="Arial" w:hAnsi="Arial" w:cs="Arial"/>
          <w:color w:val="000000"/>
        </w:rPr>
        <w:t xml:space="preserve"> ймовірно</w:t>
      </w:r>
      <w:r>
        <w:rPr>
          <w:rFonts w:ascii="Arial" w:hAnsi="Arial" w:cs="Arial"/>
          <w:color w:val="000000"/>
          <w:lang w:val="uk-UA"/>
        </w:rPr>
        <w:t>,</w:t>
      </w:r>
      <w:r w:rsidRPr="00561D7F">
        <w:rPr>
          <w:rFonts w:ascii="Arial" w:hAnsi="Arial" w:cs="Arial"/>
          <w:color w:val="000000"/>
        </w:rPr>
        <w:t xml:space="preserve"> будуть ефективними, та </w:t>
      </w:r>
      <w:r>
        <w:rPr>
          <w:rFonts w:ascii="Arial" w:hAnsi="Arial" w:cs="Arial"/>
          <w:color w:val="000000"/>
        </w:rPr>
        <w:t xml:space="preserve">можуть </w:t>
      </w:r>
      <w:r w:rsidRPr="00561D7F">
        <w:rPr>
          <w:rFonts w:ascii="Arial" w:hAnsi="Arial" w:cs="Arial"/>
          <w:color w:val="000000"/>
        </w:rPr>
        <w:t>запобігти придбанню додаткової</w:t>
      </w:r>
      <w:r>
        <w:rPr>
          <w:rFonts w:ascii="Arial" w:hAnsi="Arial" w:cs="Arial"/>
          <w:color w:val="000000"/>
        </w:rPr>
        <w:t xml:space="preserve"> резистентності та її розвитку у </w:t>
      </w:r>
      <w:r>
        <w:rPr>
          <w:rFonts w:ascii="Arial" w:hAnsi="Arial" w:cs="Arial"/>
          <w:color w:val="000000"/>
          <w:lang w:val="uk-UA"/>
        </w:rPr>
        <w:t xml:space="preserve">форму </w:t>
      </w:r>
      <w:r w:rsidRPr="00561D7F">
        <w:rPr>
          <w:rFonts w:ascii="Arial" w:hAnsi="Arial" w:cs="Arial"/>
          <w:color w:val="000000"/>
        </w:rPr>
        <w:t xml:space="preserve">туберкульозу з широкою </w:t>
      </w:r>
      <w:r>
        <w:rPr>
          <w:rFonts w:ascii="Arial" w:hAnsi="Arial" w:cs="Arial"/>
          <w:color w:val="000000"/>
        </w:rPr>
        <w:t xml:space="preserve">лікарською </w:t>
      </w:r>
      <w:r w:rsidRPr="00561D7F">
        <w:rPr>
          <w:rFonts w:ascii="Arial" w:hAnsi="Arial" w:cs="Arial"/>
          <w:color w:val="000000"/>
        </w:rPr>
        <w:t xml:space="preserve">стійкістю </w:t>
      </w:r>
      <w:r>
        <w:rPr>
          <w:rFonts w:ascii="Arial" w:hAnsi="Arial" w:cs="Arial"/>
          <w:color w:val="000000"/>
          <w:lang w:val="uk-UA"/>
        </w:rPr>
        <w:t xml:space="preserve">до препаратів </w:t>
      </w:r>
      <w:r w:rsidRPr="001C0856">
        <w:rPr>
          <w:rFonts w:ascii="Arial" w:hAnsi="Arial" w:cs="Arial"/>
          <w:color w:val="000000"/>
        </w:rPr>
        <w:t>(</w:t>
      </w:r>
      <w:r>
        <w:rPr>
          <w:rFonts w:ascii="Arial" w:hAnsi="Arial" w:cs="Arial"/>
          <w:color w:val="000000"/>
        </w:rPr>
        <w:t>далі РР ТБ</w:t>
      </w:r>
      <w:r w:rsidRPr="001C0856">
        <w:rPr>
          <w:rFonts w:ascii="Arial" w:hAnsi="Arial" w:cs="Arial"/>
          <w:color w:val="000000"/>
        </w:rPr>
        <w:t>).</w:t>
      </w:r>
    </w:p>
    <w:p w14:paraId="3F69EFB0" w14:textId="77777777" w:rsidR="00183A2E" w:rsidRDefault="00183A2E" w:rsidP="00183A2E">
      <w:pPr>
        <w:autoSpaceDE w:val="0"/>
        <w:autoSpaceDN w:val="0"/>
        <w:adjustRightInd w:val="0"/>
        <w:spacing w:after="0" w:line="240" w:lineRule="auto"/>
        <w:jc w:val="both"/>
        <w:rPr>
          <w:rFonts w:ascii="Arial" w:hAnsi="Arial" w:cs="Arial"/>
          <w:color w:val="000000"/>
          <w:lang w:val="uk-UA"/>
        </w:rPr>
      </w:pPr>
    </w:p>
    <w:p w14:paraId="281871F3" w14:textId="77777777" w:rsidR="00581A98" w:rsidRPr="00EF7102" w:rsidRDefault="00581A98" w:rsidP="00183A2E">
      <w:pPr>
        <w:autoSpaceDE w:val="0"/>
        <w:autoSpaceDN w:val="0"/>
        <w:adjustRightInd w:val="0"/>
        <w:spacing w:after="0" w:line="240" w:lineRule="auto"/>
        <w:jc w:val="both"/>
        <w:rPr>
          <w:rFonts w:ascii="Arial" w:hAnsi="Arial" w:cs="Arial"/>
          <w:color w:val="000000"/>
          <w:lang w:val="uk-UA"/>
        </w:rPr>
      </w:pPr>
      <w:r w:rsidRPr="00183A2E">
        <w:rPr>
          <w:rFonts w:ascii="Arial" w:hAnsi="Arial" w:cs="Arial"/>
          <w:b/>
          <w:color w:val="000000"/>
          <w:lang w:val="uk-UA"/>
        </w:rPr>
        <w:t>в.</w:t>
      </w:r>
      <w:r w:rsidRPr="00EF7102">
        <w:rPr>
          <w:rFonts w:ascii="Arial" w:hAnsi="Arial" w:cs="Arial"/>
          <w:color w:val="000000"/>
          <w:lang w:val="uk-UA"/>
        </w:rPr>
        <w:t xml:space="preserve"> Хоча досвід </w:t>
      </w:r>
      <w:r>
        <w:rPr>
          <w:rFonts w:ascii="Arial" w:hAnsi="Arial" w:cs="Arial"/>
          <w:color w:val="000000"/>
          <w:lang w:val="uk-UA"/>
        </w:rPr>
        <w:t>застосування</w:t>
      </w:r>
      <w:r w:rsidRPr="00EF7102">
        <w:rPr>
          <w:rFonts w:ascii="Arial" w:hAnsi="Arial" w:cs="Arial"/>
          <w:color w:val="000000"/>
          <w:lang w:val="uk-UA"/>
        </w:rPr>
        <w:t xml:space="preserve"> бедаквіліну </w:t>
      </w:r>
      <w:r>
        <w:rPr>
          <w:rFonts w:ascii="Arial" w:hAnsi="Arial" w:cs="Arial"/>
          <w:color w:val="000000"/>
          <w:lang w:val="uk-UA"/>
        </w:rPr>
        <w:t>при лікуванні</w:t>
      </w:r>
      <w:r w:rsidRPr="00EF7102">
        <w:rPr>
          <w:rFonts w:ascii="Arial" w:hAnsi="Arial" w:cs="Arial"/>
          <w:color w:val="000000"/>
          <w:lang w:val="uk-UA"/>
        </w:rPr>
        <w:t xml:space="preserve"> </w:t>
      </w:r>
      <w:r>
        <w:rPr>
          <w:rFonts w:ascii="Arial" w:hAnsi="Arial" w:cs="Arial"/>
          <w:color w:val="000000"/>
        </w:rPr>
        <w:t>РР ТБ</w:t>
      </w:r>
      <w:r w:rsidRPr="00EF7102">
        <w:rPr>
          <w:rFonts w:ascii="Arial" w:hAnsi="Arial" w:cs="Arial"/>
          <w:color w:val="000000"/>
          <w:lang w:val="uk-UA"/>
        </w:rPr>
        <w:t xml:space="preserve"> обмежений, в</w:t>
      </w:r>
      <w:r>
        <w:rPr>
          <w:rFonts w:ascii="Arial" w:hAnsi="Arial" w:cs="Arial"/>
          <w:color w:val="000000"/>
          <w:lang w:val="uk-UA"/>
        </w:rPr>
        <w:t>ін може мати показання для</w:t>
      </w:r>
      <w:r w:rsidRPr="00EF7102">
        <w:rPr>
          <w:rFonts w:ascii="Arial" w:hAnsi="Arial" w:cs="Arial"/>
          <w:color w:val="000000"/>
          <w:lang w:val="uk-UA"/>
        </w:rPr>
        <w:t xml:space="preserve"> пацієнтів </w:t>
      </w:r>
      <w:r>
        <w:rPr>
          <w:rFonts w:ascii="Arial" w:hAnsi="Arial" w:cs="Arial"/>
          <w:color w:val="000000"/>
          <w:lang w:val="uk-UA"/>
        </w:rPr>
        <w:t xml:space="preserve">з </w:t>
      </w:r>
      <w:r>
        <w:rPr>
          <w:rFonts w:ascii="Arial" w:hAnsi="Arial" w:cs="Arial"/>
          <w:color w:val="000000"/>
        </w:rPr>
        <w:t>РР ТБ</w:t>
      </w:r>
      <w:r>
        <w:rPr>
          <w:rFonts w:ascii="Arial" w:hAnsi="Arial" w:cs="Arial"/>
          <w:color w:val="000000"/>
          <w:lang w:val="uk-UA"/>
        </w:rPr>
        <w:t>, особливо враховуючи факт існуючих</w:t>
      </w:r>
      <w:r w:rsidRPr="00EF7102">
        <w:rPr>
          <w:rFonts w:ascii="Arial" w:hAnsi="Arial" w:cs="Arial"/>
          <w:color w:val="000000"/>
          <w:lang w:val="uk-UA"/>
        </w:rPr>
        <w:t xml:space="preserve"> обмежень при розробці ефективного режиму</w:t>
      </w:r>
      <w:r>
        <w:rPr>
          <w:rFonts w:ascii="Arial" w:hAnsi="Arial" w:cs="Arial"/>
          <w:color w:val="000000"/>
          <w:lang w:val="uk-UA"/>
        </w:rPr>
        <w:t xml:space="preserve"> для таких пацтєнтів</w:t>
      </w:r>
      <w:r w:rsidRPr="00EF7102">
        <w:rPr>
          <w:rFonts w:ascii="Arial" w:hAnsi="Arial" w:cs="Arial"/>
          <w:color w:val="000000"/>
          <w:lang w:val="uk-UA"/>
        </w:rPr>
        <w:t>. У пацієнтів, стійких до обох класів ін'єкційних препаратів,</w:t>
      </w:r>
      <w:r>
        <w:rPr>
          <w:rFonts w:ascii="Arial" w:hAnsi="Arial" w:cs="Arial"/>
          <w:color w:val="000000"/>
          <w:lang w:val="uk-UA"/>
        </w:rPr>
        <w:t xml:space="preserve"> а також до фторхінолонів (наприклад,</w:t>
      </w:r>
      <w:r w:rsidRPr="00EF7102">
        <w:rPr>
          <w:rFonts w:ascii="Arial" w:hAnsi="Arial" w:cs="Arial"/>
          <w:color w:val="000000"/>
          <w:lang w:val="uk-UA"/>
        </w:rPr>
        <w:t xml:space="preserve"> </w:t>
      </w:r>
      <w:r>
        <w:rPr>
          <w:rFonts w:ascii="Arial" w:hAnsi="Arial" w:cs="Arial"/>
          <w:color w:val="000000"/>
          <w:lang w:val="uk-UA"/>
        </w:rPr>
        <w:t>РР ТБ</w:t>
      </w:r>
      <w:r w:rsidRPr="00EF7102">
        <w:rPr>
          <w:rFonts w:ascii="Arial" w:hAnsi="Arial" w:cs="Arial"/>
          <w:color w:val="000000"/>
          <w:lang w:val="uk-UA"/>
        </w:rPr>
        <w:t xml:space="preserve">), бедаквілін може зменшити потребу включення лікарських засобів, що відносяться до </w:t>
      </w:r>
      <w:r>
        <w:rPr>
          <w:rFonts w:ascii="Arial" w:hAnsi="Arial" w:cs="Arial"/>
          <w:color w:val="000000"/>
          <w:lang w:val="uk-UA"/>
        </w:rPr>
        <w:t>5 групи</w:t>
      </w:r>
      <w:r w:rsidRPr="00EF7102">
        <w:rPr>
          <w:rFonts w:ascii="Arial" w:hAnsi="Arial" w:cs="Arial"/>
          <w:color w:val="000000"/>
          <w:lang w:val="uk-UA"/>
        </w:rPr>
        <w:t>, деякі з яких мають непереконливу анти-туберкульозну</w:t>
      </w:r>
      <w:r>
        <w:rPr>
          <w:rFonts w:ascii="Arial" w:hAnsi="Arial" w:cs="Arial"/>
          <w:color w:val="000000"/>
          <w:lang w:val="uk-UA"/>
        </w:rPr>
        <w:t xml:space="preserve"> активність, високу вартість та/</w:t>
      </w:r>
      <w:r w:rsidRPr="00EF7102">
        <w:rPr>
          <w:rFonts w:ascii="Arial" w:hAnsi="Arial" w:cs="Arial"/>
          <w:color w:val="000000"/>
          <w:lang w:val="uk-UA"/>
        </w:rPr>
        <w:t>або високу токсичність.</w:t>
      </w:r>
      <w:r w:rsidRPr="00EF7102">
        <w:rPr>
          <w:rFonts w:ascii="Arial" w:hAnsi="Arial" w:cs="Arial"/>
          <w:color w:val="000000"/>
          <w:vertAlign w:val="superscript"/>
          <w:lang w:val="uk-UA"/>
        </w:rPr>
        <w:t>5</w:t>
      </w:r>
      <w:r w:rsidRPr="00EF7102">
        <w:rPr>
          <w:rFonts w:ascii="Arial" w:hAnsi="Arial" w:cs="Arial"/>
          <w:color w:val="000000"/>
          <w:lang w:val="uk-UA"/>
        </w:rPr>
        <w:t xml:space="preserve"> Таким чином, бедаквілін може застосовуватися з або замість препарату групи 5. У цих випадках рекомендується проявляти особливу обережність щодо потенційного збільшення побічн</w:t>
      </w:r>
      <w:r>
        <w:rPr>
          <w:rFonts w:ascii="Arial" w:hAnsi="Arial" w:cs="Arial"/>
          <w:color w:val="000000"/>
          <w:lang w:val="uk-UA"/>
        </w:rPr>
        <w:t>их реакцій від препарату через потенційну загрозу</w:t>
      </w:r>
      <w:r w:rsidRPr="00EF7102">
        <w:rPr>
          <w:rFonts w:ascii="Arial" w:hAnsi="Arial" w:cs="Arial"/>
          <w:color w:val="000000"/>
          <w:lang w:val="uk-UA"/>
        </w:rPr>
        <w:t xml:space="preserve"> взаємодії лікарських препаратів, особливо можливості появи синергічн</w:t>
      </w:r>
      <w:r>
        <w:rPr>
          <w:rFonts w:ascii="Arial" w:hAnsi="Arial" w:cs="Arial"/>
          <w:color w:val="000000"/>
          <w:lang w:val="uk-UA"/>
        </w:rPr>
        <w:t>ого кардіотоксичного ефекту на подовження інтервалу</w:t>
      </w:r>
      <w:r w:rsidRPr="00EF7102">
        <w:rPr>
          <w:rFonts w:ascii="Arial" w:hAnsi="Arial" w:cs="Arial"/>
          <w:color w:val="000000"/>
          <w:lang w:val="uk-UA"/>
        </w:rPr>
        <w:t xml:space="preserve"> QT, що вимагає ретельного ЕКГ-моніторингу.</w:t>
      </w:r>
    </w:p>
    <w:p w14:paraId="5E1D0D26" w14:textId="77777777" w:rsidR="00183A2E" w:rsidRDefault="00183A2E" w:rsidP="00183A2E">
      <w:pPr>
        <w:autoSpaceDE w:val="0"/>
        <w:autoSpaceDN w:val="0"/>
        <w:adjustRightInd w:val="0"/>
        <w:spacing w:after="0" w:line="240" w:lineRule="auto"/>
        <w:jc w:val="both"/>
        <w:rPr>
          <w:rFonts w:ascii="Arial" w:hAnsi="Arial" w:cs="Arial"/>
          <w:color w:val="000000"/>
          <w:lang w:val="uk-UA"/>
        </w:rPr>
      </w:pPr>
    </w:p>
    <w:p w14:paraId="1D4BB003" w14:textId="2C89F0B9" w:rsidR="00581A98" w:rsidRPr="00C1481C" w:rsidRDefault="00581A98" w:rsidP="00183A2E">
      <w:pPr>
        <w:autoSpaceDE w:val="0"/>
        <w:autoSpaceDN w:val="0"/>
        <w:adjustRightInd w:val="0"/>
        <w:spacing w:after="0" w:line="240" w:lineRule="auto"/>
        <w:jc w:val="both"/>
        <w:rPr>
          <w:rFonts w:ascii="Arial" w:hAnsi="Arial" w:cs="Arial"/>
          <w:color w:val="000000"/>
          <w:lang w:val="uk-UA"/>
        </w:rPr>
      </w:pPr>
      <w:r w:rsidRPr="00183A2E">
        <w:rPr>
          <w:rFonts w:ascii="Arial" w:hAnsi="Arial" w:cs="Arial"/>
          <w:b/>
          <w:color w:val="000000"/>
          <w:lang w:val="uk-UA"/>
        </w:rPr>
        <w:t>г.</w:t>
      </w:r>
      <w:r>
        <w:rPr>
          <w:rFonts w:ascii="Arial" w:hAnsi="Arial" w:cs="Arial"/>
          <w:color w:val="000000"/>
          <w:lang w:val="uk-UA"/>
        </w:rPr>
        <w:t xml:space="preserve"> Згідно з загальними</w:t>
      </w:r>
      <w:r w:rsidRPr="00C1481C">
        <w:rPr>
          <w:rFonts w:ascii="Arial" w:hAnsi="Arial" w:cs="Arial"/>
          <w:color w:val="000000"/>
          <w:lang w:val="uk-UA"/>
        </w:rPr>
        <w:t xml:space="preserve"> </w:t>
      </w:r>
      <w:r w:rsidR="001732DF">
        <w:rPr>
          <w:rFonts w:ascii="Arial" w:hAnsi="Arial" w:cs="Arial"/>
          <w:color w:val="000000"/>
          <w:lang w:val="uk-UA"/>
        </w:rPr>
        <w:t>принципа</w:t>
      </w:r>
      <w:r>
        <w:rPr>
          <w:rFonts w:ascii="Arial" w:hAnsi="Arial" w:cs="Arial"/>
          <w:color w:val="000000"/>
          <w:lang w:val="uk-UA"/>
        </w:rPr>
        <w:t>ми ТБ-</w:t>
      </w:r>
      <w:r w:rsidRPr="00C1481C">
        <w:rPr>
          <w:rFonts w:ascii="Arial" w:hAnsi="Arial" w:cs="Arial"/>
          <w:color w:val="000000"/>
          <w:lang w:val="uk-UA"/>
        </w:rPr>
        <w:t>терапії, бедаквілін не слід вводити до режиму, який включає інші відомі супутні лікарські препарати або ті, які вважаються неефективними або не здатні продемонструвати ефективність. З цього випливає, що бедаквілін не слід додавати окремо до невдалого режиму, і його слід вводити задовго до того, як режим повністю перестає працювати.</w:t>
      </w:r>
    </w:p>
    <w:p w14:paraId="7BAC1211" w14:textId="77777777" w:rsidR="00581A98" w:rsidRDefault="00581A98" w:rsidP="00581A98">
      <w:pPr>
        <w:autoSpaceDE w:val="0"/>
        <w:autoSpaceDN w:val="0"/>
        <w:adjustRightInd w:val="0"/>
        <w:spacing w:after="0" w:line="240" w:lineRule="auto"/>
        <w:ind w:left="708"/>
        <w:jc w:val="both"/>
        <w:rPr>
          <w:rFonts w:ascii="Arial" w:hAnsi="Arial" w:cs="Arial"/>
          <w:color w:val="000000"/>
          <w:lang w:val="uk-UA"/>
        </w:rPr>
      </w:pPr>
    </w:p>
    <w:p w14:paraId="133E121C" w14:textId="39D77BD2" w:rsidR="00581A98" w:rsidRPr="00116758" w:rsidRDefault="00581A98" w:rsidP="00183A2E">
      <w:pPr>
        <w:autoSpaceDE w:val="0"/>
        <w:autoSpaceDN w:val="0"/>
        <w:adjustRightInd w:val="0"/>
        <w:spacing w:after="0" w:line="240" w:lineRule="auto"/>
        <w:jc w:val="both"/>
        <w:rPr>
          <w:rFonts w:ascii="Arial" w:hAnsi="Arial" w:cs="Arial"/>
          <w:color w:val="000000"/>
        </w:rPr>
      </w:pPr>
      <w:r w:rsidRPr="00183A2E">
        <w:rPr>
          <w:rFonts w:ascii="Arial" w:hAnsi="Arial" w:cs="Arial"/>
          <w:b/>
          <w:color w:val="000000"/>
        </w:rPr>
        <w:t>д.</w:t>
      </w:r>
      <w:r w:rsidRPr="00116758">
        <w:rPr>
          <w:rFonts w:ascii="Arial" w:hAnsi="Arial" w:cs="Arial"/>
          <w:color w:val="000000"/>
        </w:rPr>
        <w:t xml:space="preserve">  Бедакв</w:t>
      </w:r>
      <w:r w:rsidR="000326B3">
        <w:rPr>
          <w:rFonts w:ascii="Arial" w:hAnsi="Arial" w:cs="Arial"/>
          <w:color w:val="000000"/>
        </w:rPr>
        <w:t>ілін слід застосовувати чітко згідно</w:t>
      </w:r>
      <w:r w:rsidRPr="00116758">
        <w:rPr>
          <w:rFonts w:ascii="Arial" w:hAnsi="Arial" w:cs="Arial"/>
          <w:color w:val="000000"/>
        </w:rPr>
        <w:t xml:space="preserve"> рекомендованої виробником дози, тобто 400 мг на добу протягом перших двох ти</w:t>
      </w:r>
      <w:r>
        <w:rPr>
          <w:rFonts w:ascii="Arial" w:hAnsi="Arial" w:cs="Arial"/>
          <w:color w:val="000000"/>
        </w:rPr>
        <w:t>жнів, а потім по 200 мг тричі</w:t>
      </w:r>
      <w:r w:rsidRPr="00116758">
        <w:rPr>
          <w:rFonts w:ascii="Arial" w:hAnsi="Arial" w:cs="Arial"/>
          <w:color w:val="000000"/>
        </w:rPr>
        <w:t xml:space="preserve"> на тиждень принаймні </w:t>
      </w:r>
      <w:r w:rsidRPr="00116758">
        <w:rPr>
          <w:rFonts w:ascii="Arial" w:hAnsi="Arial" w:cs="Arial"/>
          <w:color w:val="000000"/>
        </w:rPr>
        <w:lastRenderedPageBreak/>
        <w:t xml:space="preserve">протягом 48 годин, при загальній максимальній тривалості лікування у 24 тижні. Доступні дані свідчать про те, що бедаквілін краще засвоюється при вживанні його </w:t>
      </w:r>
      <w:r w:rsidRPr="00DD4603">
        <w:rPr>
          <w:rFonts w:ascii="Arial" w:hAnsi="Arial" w:cs="Arial"/>
          <w:color w:val="000000"/>
        </w:rPr>
        <w:t>з  їжею.</w:t>
      </w:r>
    </w:p>
    <w:p w14:paraId="4F49806E" w14:textId="77777777" w:rsidR="00581A98" w:rsidRDefault="00581A98" w:rsidP="00581A98">
      <w:pPr>
        <w:autoSpaceDE w:val="0"/>
        <w:autoSpaceDN w:val="0"/>
        <w:adjustRightInd w:val="0"/>
        <w:spacing w:after="0" w:line="240" w:lineRule="auto"/>
        <w:jc w:val="both"/>
        <w:rPr>
          <w:rFonts w:ascii="Arial" w:hAnsi="Arial" w:cs="Arial"/>
          <w:b/>
          <w:bCs/>
          <w:sz w:val="24"/>
          <w:szCs w:val="24"/>
          <w:lang w:val="uk-UA"/>
        </w:rPr>
      </w:pPr>
    </w:p>
    <w:p w14:paraId="51D0E802" w14:textId="77777777" w:rsidR="00581A98" w:rsidRPr="000326B3" w:rsidRDefault="00581A98" w:rsidP="00581A98">
      <w:pPr>
        <w:autoSpaceDE w:val="0"/>
        <w:autoSpaceDN w:val="0"/>
        <w:adjustRightInd w:val="0"/>
        <w:spacing w:after="0" w:line="240" w:lineRule="auto"/>
        <w:jc w:val="both"/>
        <w:rPr>
          <w:rFonts w:ascii="Arial" w:hAnsi="Arial" w:cs="Arial"/>
          <w:b/>
          <w:bCs/>
          <w:color w:val="C00000"/>
          <w:sz w:val="24"/>
          <w:szCs w:val="24"/>
          <w:lang w:val="uk-UA"/>
        </w:rPr>
      </w:pPr>
      <w:r w:rsidRPr="000326B3">
        <w:rPr>
          <w:rFonts w:ascii="Arial" w:hAnsi="Arial" w:cs="Arial"/>
          <w:b/>
          <w:bCs/>
          <w:color w:val="C00000"/>
          <w:sz w:val="24"/>
          <w:szCs w:val="24"/>
        </w:rPr>
        <w:t>5. Фармакологічний нагляд та забезпечення належного лікування побічних реакцій на препарат та запобігання взаємодії лікарських засобів.</w:t>
      </w:r>
    </w:p>
    <w:p w14:paraId="56616BB8" w14:textId="77777777" w:rsidR="00581A98" w:rsidRPr="005B505F" w:rsidRDefault="00581A98" w:rsidP="00581A98">
      <w:pPr>
        <w:autoSpaceDE w:val="0"/>
        <w:autoSpaceDN w:val="0"/>
        <w:adjustRightInd w:val="0"/>
        <w:spacing w:after="0" w:line="240" w:lineRule="auto"/>
        <w:jc w:val="both"/>
        <w:rPr>
          <w:rFonts w:ascii="Arial" w:hAnsi="Arial" w:cs="Arial"/>
          <w:b/>
          <w:bCs/>
          <w:color w:val="000000"/>
          <w:sz w:val="24"/>
          <w:szCs w:val="24"/>
          <w:lang w:val="uk-UA"/>
        </w:rPr>
      </w:pPr>
    </w:p>
    <w:p w14:paraId="726E4742" w14:textId="10A5ECCD" w:rsidR="00581A98" w:rsidRPr="00DD560E" w:rsidRDefault="00183A2E" w:rsidP="00183A2E">
      <w:pPr>
        <w:pStyle w:val="ListParagraph1"/>
        <w:autoSpaceDE w:val="0"/>
        <w:autoSpaceDN w:val="0"/>
        <w:adjustRightInd w:val="0"/>
        <w:spacing w:after="0" w:line="240" w:lineRule="auto"/>
        <w:ind w:left="0"/>
        <w:jc w:val="both"/>
        <w:rPr>
          <w:rFonts w:ascii="Arial" w:hAnsi="Arial" w:cs="Arial"/>
          <w:color w:val="000000"/>
        </w:rPr>
      </w:pPr>
      <w:r w:rsidRPr="00183A2E">
        <w:rPr>
          <w:rFonts w:ascii="Arial" w:hAnsi="Arial" w:cs="Arial"/>
          <w:b/>
          <w:color w:val="000000"/>
          <w:lang w:val="uk-UA"/>
        </w:rPr>
        <w:t>а.</w:t>
      </w:r>
      <w:r>
        <w:rPr>
          <w:rFonts w:ascii="Arial" w:hAnsi="Arial" w:cs="Arial"/>
          <w:color w:val="000000"/>
          <w:lang w:val="uk-UA"/>
        </w:rPr>
        <w:t xml:space="preserve"> </w:t>
      </w:r>
      <w:r w:rsidR="00581A98" w:rsidRPr="00A60D1B">
        <w:rPr>
          <w:rFonts w:ascii="Arial" w:hAnsi="Arial" w:cs="Arial"/>
          <w:color w:val="000000"/>
          <w:lang w:val="uk-UA"/>
        </w:rPr>
        <w:t>Необхідно запровадити спеці</w:t>
      </w:r>
      <w:r w:rsidR="00897A1E">
        <w:rPr>
          <w:rFonts w:ascii="Arial" w:hAnsi="Arial" w:cs="Arial"/>
          <w:color w:val="000000"/>
          <w:lang w:val="uk-UA"/>
        </w:rPr>
        <w:t>альні заходи з метою забезпечення раннього виявлення та своєчасного</w:t>
      </w:r>
      <w:r w:rsidR="00581A98" w:rsidRPr="00A60D1B">
        <w:rPr>
          <w:rFonts w:ascii="Arial" w:hAnsi="Arial" w:cs="Arial"/>
          <w:color w:val="000000"/>
          <w:lang w:val="uk-UA"/>
        </w:rPr>
        <w:t xml:space="preserve"> пові</w:t>
      </w:r>
      <w:r w:rsidR="00581A98">
        <w:rPr>
          <w:rFonts w:ascii="Arial" w:hAnsi="Arial" w:cs="Arial"/>
          <w:color w:val="000000"/>
          <w:lang w:val="uk-UA"/>
        </w:rPr>
        <w:t>домлення про побічні реакції</w:t>
      </w:r>
      <w:r w:rsidR="00581A98" w:rsidRPr="00A60D1B">
        <w:rPr>
          <w:rFonts w:ascii="Arial" w:hAnsi="Arial" w:cs="Arial"/>
          <w:color w:val="000000"/>
          <w:lang w:val="uk-UA"/>
        </w:rPr>
        <w:t>, використовуючи методи</w:t>
      </w:r>
      <w:r w:rsidR="00581A98">
        <w:rPr>
          <w:rFonts w:ascii="Arial" w:hAnsi="Arial" w:cs="Arial"/>
          <w:color w:val="000000"/>
          <w:lang w:val="uk-UA"/>
        </w:rPr>
        <w:t xml:space="preserve"> активного фармаконагляду, такі</w:t>
      </w:r>
      <w:r w:rsidR="00581A98" w:rsidRPr="00A60D1B">
        <w:rPr>
          <w:rFonts w:ascii="Arial" w:hAnsi="Arial" w:cs="Arial"/>
          <w:color w:val="000000"/>
          <w:lang w:val="uk-UA"/>
        </w:rPr>
        <w:t xml:space="preserve"> я</w:t>
      </w:r>
      <w:r w:rsidR="00581A98">
        <w:rPr>
          <w:rFonts w:ascii="Arial" w:hAnsi="Arial" w:cs="Arial"/>
          <w:color w:val="000000"/>
          <w:lang w:val="uk-UA"/>
        </w:rPr>
        <w:t>к "моніторинг</w:t>
      </w:r>
      <w:r w:rsidR="00581A98" w:rsidRPr="00DD4603">
        <w:rPr>
          <w:rFonts w:ascii="Arial" w:hAnsi="Arial" w:cs="Arial"/>
          <w:color w:val="000000"/>
          <w:lang w:val="uk-UA"/>
        </w:rPr>
        <w:t xml:space="preserve"> </w:t>
      </w:r>
      <w:r w:rsidR="00581A98">
        <w:rPr>
          <w:rFonts w:ascii="Arial" w:hAnsi="Arial" w:cs="Arial"/>
          <w:color w:val="000000"/>
          <w:lang w:val="uk-UA"/>
        </w:rPr>
        <w:t>побічних реакцій під час когортного дослідження</w:t>
      </w:r>
      <w:r w:rsidR="00581A98" w:rsidRPr="00A60D1B">
        <w:rPr>
          <w:rFonts w:ascii="Arial" w:hAnsi="Arial" w:cs="Arial"/>
          <w:color w:val="000000"/>
          <w:lang w:val="uk-UA"/>
        </w:rPr>
        <w:t xml:space="preserve">". </w:t>
      </w:r>
      <w:r w:rsidR="00581A98" w:rsidRPr="00A60AE1">
        <w:rPr>
          <w:rFonts w:ascii="Arial" w:hAnsi="Arial" w:cs="Arial"/>
          <w:color w:val="000000"/>
          <w:lang w:val="uk-UA"/>
        </w:rPr>
        <w:t>Слід також інформувати національний центр з питань фармакологічного нагляду про будь-яку побічну реакцію, пов'язану з бедаквіліном</w:t>
      </w:r>
      <w:r w:rsidR="00581A98">
        <w:rPr>
          <w:rFonts w:ascii="Arial" w:hAnsi="Arial" w:cs="Arial"/>
          <w:color w:val="000000"/>
          <w:lang w:val="uk-UA"/>
        </w:rPr>
        <w:t>, в рамках механізму спонтанної</w:t>
      </w:r>
      <w:r w:rsidR="00581A98" w:rsidRPr="00A60AE1">
        <w:rPr>
          <w:rFonts w:ascii="Arial" w:hAnsi="Arial" w:cs="Arial"/>
          <w:color w:val="000000"/>
          <w:lang w:val="uk-UA"/>
        </w:rPr>
        <w:t xml:space="preserve"> звітності на рівні країни. Що стосується будь-якого іншого препарату, включеного до режиму лікування</w:t>
      </w:r>
      <w:r w:rsidR="00581A98">
        <w:rPr>
          <w:rFonts w:ascii="Arial" w:hAnsi="Arial" w:cs="Arial"/>
          <w:color w:val="000000"/>
          <w:lang w:val="uk-UA"/>
        </w:rPr>
        <w:t xml:space="preserve"> МР ТБ</w:t>
      </w:r>
      <w:r w:rsidR="00581A98" w:rsidRPr="00A60AE1">
        <w:rPr>
          <w:rFonts w:ascii="Arial" w:hAnsi="Arial" w:cs="Arial"/>
          <w:color w:val="000000"/>
          <w:lang w:val="uk-UA"/>
        </w:rPr>
        <w:t>, слід</w:t>
      </w:r>
      <w:r w:rsidR="00581A98">
        <w:rPr>
          <w:rFonts w:ascii="Arial" w:hAnsi="Arial" w:cs="Arial"/>
          <w:color w:val="000000"/>
          <w:lang w:val="uk-UA"/>
        </w:rPr>
        <w:t xml:space="preserve"> </w:t>
      </w:r>
      <w:r w:rsidR="00581A98" w:rsidRPr="00A60AE1">
        <w:rPr>
          <w:rFonts w:ascii="Arial" w:hAnsi="Arial" w:cs="Arial"/>
          <w:color w:val="000000"/>
          <w:lang w:val="uk-UA"/>
        </w:rPr>
        <w:t>заохочувати</w:t>
      </w:r>
      <w:r w:rsidR="00581A98">
        <w:rPr>
          <w:rFonts w:ascii="Arial" w:hAnsi="Arial" w:cs="Arial"/>
          <w:color w:val="000000"/>
          <w:lang w:val="uk-UA"/>
        </w:rPr>
        <w:t xml:space="preserve"> пацієнта інформувати </w:t>
      </w:r>
      <w:r w:rsidR="00581A98" w:rsidRPr="00A60AE1">
        <w:rPr>
          <w:rFonts w:ascii="Arial" w:hAnsi="Arial" w:cs="Arial"/>
          <w:color w:val="000000"/>
          <w:lang w:val="uk-UA"/>
        </w:rPr>
        <w:t xml:space="preserve">медичного працівника під час його візиту про будь-який </w:t>
      </w:r>
      <w:r w:rsidR="00581A98">
        <w:rPr>
          <w:rFonts w:ascii="Arial" w:hAnsi="Arial" w:cs="Arial"/>
          <w:color w:val="000000"/>
          <w:lang w:val="uk-UA"/>
        </w:rPr>
        <w:t>випадок побічної реакції</w:t>
      </w:r>
      <w:r w:rsidR="00581A98" w:rsidRPr="00A60AE1">
        <w:rPr>
          <w:rFonts w:ascii="Arial" w:hAnsi="Arial" w:cs="Arial"/>
          <w:color w:val="000000"/>
          <w:lang w:val="uk-UA"/>
        </w:rPr>
        <w:t xml:space="preserve">, </w:t>
      </w:r>
      <w:r w:rsidR="00581A98">
        <w:rPr>
          <w:rFonts w:ascii="Arial" w:hAnsi="Arial" w:cs="Arial"/>
          <w:color w:val="000000"/>
          <w:lang w:val="uk-UA"/>
        </w:rPr>
        <w:t>який виникає під час прийому пре</w:t>
      </w:r>
      <w:r w:rsidR="00581A98" w:rsidRPr="00A60AE1">
        <w:rPr>
          <w:rFonts w:ascii="Arial" w:hAnsi="Arial" w:cs="Arial"/>
          <w:color w:val="000000"/>
          <w:lang w:val="uk-UA"/>
        </w:rPr>
        <w:t>пар</w:t>
      </w:r>
      <w:r w:rsidR="00581A98">
        <w:rPr>
          <w:rFonts w:ascii="Arial" w:hAnsi="Arial" w:cs="Arial"/>
          <w:color w:val="000000"/>
          <w:lang w:val="uk-UA"/>
        </w:rPr>
        <w:t>ату</w:t>
      </w:r>
      <w:r w:rsidR="00581A98" w:rsidRPr="00A60AE1">
        <w:rPr>
          <w:rFonts w:ascii="Arial" w:hAnsi="Arial" w:cs="Arial"/>
          <w:color w:val="000000"/>
          <w:lang w:val="uk-UA"/>
        </w:rPr>
        <w:t xml:space="preserve">. </w:t>
      </w:r>
      <w:r w:rsidR="00581A98">
        <w:rPr>
          <w:rFonts w:ascii="Arial" w:hAnsi="Arial" w:cs="Arial"/>
          <w:color w:val="000000"/>
          <w:lang w:val="uk-UA"/>
        </w:rPr>
        <w:t xml:space="preserve">На </w:t>
      </w:r>
      <w:r w:rsidR="00581A98">
        <w:rPr>
          <w:rFonts w:ascii="Arial" w:hAnsi="Arial" w:cs="Arial"/>
          <w:color w:val="000000"/>
        </w:rPr>
        <w:t>т</w:t>
      </w:r>
      <w:r w:rsidR="00581A98" w:rsidRPr="00A60D1B">
        <w:rPr>
          <w:rFonts w:ascii="Arial" w:hAnsi="Arial" w:cs="Arial"/>
          <w:color w:val="000000"/>
        </w:rPr>
        <w:t xml:space="preserve">акі випадки </w:t>
      </w:r>
      <w:r w:rsidR="00581A98">
        <w:rPr>
          <w:rFonts w:ascii="Arial" w:hAnsi="Arial" w:cs="Arial"/>
          <w:color w:val="000000"/>
        </w:rPr>
        <w:t>слід реагувати швидко та повинен бути відпрацьований механізм їх лікування.</w:t>
      </w:r>
    </w:p>
    <w:p w14:paraId="0BB0B1E1" w14:textId="77777777" w:rsidR="00581A98" w:rsidRPr="00A60D1B" w:rsidRDefault="00581A98" w:rsidP="00581A98">
      <w:pPr>
        <w:pStyle w:val="ListParagraph1"/>
        <w:autoSpaceDE w:val="0"/>
        <w:autoSpaceDN w:val="0"/>
        <w:adjustRightInd w:val="0"/>
        <w:spacing w:after="0" w:line="240" w:lineRule="auto"/>
        <w:ind w:left="708"/>
        <w:jc w:val="both"/>
        <w:rPr>
          <w:rFonts w:ascii="Arial" w:hAnsi="Arial" w:cs="Arial"/>
          <w:color w:val="000000"/>
          <w:lang w:val="uk-UA"/>
        </w:rPr>
      </w:pPr>
    </w:p>
    <w:p w14:paraId="14A4C4CE" w14:textId="7F436961" w:rsidR="00581A98" w:rsidRPr="00713994" w:rsidRDefault="00581A98" w:rsidP="00183A2E">
      <w:pPr>
        <w:pStyle w:val="ListParagraph1"/>
        <w:autoSpaceDE w:val="0"/>
        <w:autoSpaceDN w:val="0"/>
        <w:adjustRightInd w:val="0"/>
        <w:spacing w:after="0" w:line="240" w:lineRule="auto"/>
        <w:ind w:left="0"/>
        <w:jc w:val="both"/>
        <w:rPr>
          <w:rFonts w:ascii="Arial" w:hAnsi="Arial" w:cs="Arial"/>
          <w:color w:val="000000"/>
          <w:lang w:val="uk-UA"/>
        </w:rPr>
      </w:pPr>
      <w:r w:rsidRPr="00183A2E">
        <w:rPr>
          <w:rFonts w:ascii="Arial" w:hAnsi="Arial" w:cs="Arial"/>
          <w:b/>
          <w:color w:val="000000"/>
          <w:lang w:val="uk-UA"/>
        </w:rPr>
        <w:t>б.</w:t>
      </w:r>
      <w:r>
        <w:rPr>
          <w:rFonts w:ascii="Arial" w:hAnsi="Arial" w:cs="Arial"/>
          <w:color w:val="000000"/>
          <w:lang w:val="uk-UA"/>
        </w:rPr>
        <w:t xml:space="preserve"> Коли бедаквілін</w:t>
      </w:r>
      <w:r w:rsidRPr="00713994">
        <w:rPr>
          <w:rFonts w:ascii="Arial" w:hAnsi="Arial" w:cs="Arial"/>
          <w:color w:val="000000"/>
          <w:lang w:val="uk-UA"/>
        </w:rPr>
        <w:t xml:space="preserve"> в</w:t>
      </w:r>
      <w:r>
        <w:rPr>
          <w:rFonts w:ascii="Arial" w:hAnsi="Arial" w:cs="Arial"/>
          <w:color w:val="000000"/>
          <w:lang w:val="uk-UA"/>
        </w:rPr>
        <w:t>водиться</w:t>
      </w:r>
      <w:r w:rsidRPr="00713994">
        <w:rPr>
          <w:rFonts w:ascii="Arial" w:hAnsi="Arial" w:cs="Arial"/>
          <w:color w:val="000000"/>
          <w:lang w:val="uk-UA"/>
        </w:rPr>
        <w:t xml:space="preserve"> </w:t>
      </w:r>
      <w:r>
        <w:rPr>
          <w:rFonts w:ascii="Arial" w:hAnsi="Arial" w:cs="Arial"/>
          <w:color w:val="000000"/>
          <w:lang w:val="uk-UA"/>
        </w:rPr>
        <w:t xml:space="preserve">у режим лікування, існує можливість </w:t>
      </w:r>
      <w:r w:rsidRPr="00713994">
        <w:rPr>
          <w:rFonts w:ascii="Arial" w:hAnsi="Arial" w:cs="Arial"/>
          <w:color w:val="000000"/>
          <w:lang w:val="uk-UA"/>
        </w:rPr>
        <w:t>його взаємодії з іншими препаратам</w:t>
      </w:r>
      <w:r>
        <w:rPr>
          <w:rFonts w:ascii="Arial" w:hAnsi="Arial" w:cs="Arial"/>
          <w:color w:val="000000"/>
          <w:lang w:val="uk-UA"/>
        </w:rPr>
        <w:t>и, що приймаються одночасно, і що може призвести до адитивних або  синергічних побічних реакцій</w:t>
      </w:r>
      <w:r w:rsidRPr="00713994">
        <w:rPr>
          <w:rFonts w:ascii="Arial" w:hAnsi="Arial" w:cs="Arial"/>
          <w:color w:val="000000"/>
          <w:lang w:val="uk-UA"/>
        </w:rPr>
        <w:t xml:space="preserve">. Інші препарати </w:t>
      </w:r>
      <w:r>
        <w:rPr>
          <w:rFonts w:ascii="Arial" w:hAnsi="Arial" w:cs="Arial"/>
          <w:color w:val="000000"/>
          <w:lang w:val="uk-UA"/>
        </w:rPr>
        <w:t xml:space="preserve">другого ряду, які, скоріш за все, приймаються </w:t>
      </w:r>
      <w:r w:rsidRPr="00713994">
        <w:rPr>
          <w:rFonts w:ascii="Arial" w:hAnsi="Arial" w:cs="Arial"/>
          <w:color w:val="000000"/>
          <w:lang w:val="uk-UA"/>
        </w:rPr>
        <w:t xml:space="preserve">з бедаквіліном, особливо клофазимін та моксифлоксацин, можуть збільшити ризик кардіотоксичності. Таким чином, якщо лікарський засіб включають до схеми лікування </w:t>
      </w:r>
      <w:r>
        <w:rPr>
          <w:rFonts w:ascii="Arial" w:hAnsi="Arial" w:cs="Arial"/>
          <w:color w:val="000000"/>
          <w:lang w:val="uk-UA"/>
        </w:rPr>
        <w:t>МР ТБ, потрібно обов'язково здійснювати</w:t>
      </w:r>
      <w:r w:rsidRPr="00713994">
        <w:rPr>
          <w:rFonts w:ascii="Arial" w:hAnsi="Arial" w:cs="Arial"/>
          <w:color w:val="000000"/>
          <w:lang w:val="uk-UA"/>
        </w:rPr>
        <w:t xml:space="preserve"> моніторинг па</w:t>
      </w:r>
      <w:r>
        <w:rPr>
          <w:rFonts w:ascii="Arial" w:hAnsi="Arial" w:cs="Arial"/>
          <w:color w:val="000000"/>
          <w:lang w:val="uk-UA"/>
        </w:rPr>
        <w:t xml:space="preserve">цієнтів з серцевою аритмією або подовженням інтервалу </w:t>
      </w:r>
      <w:r w:rsidRPr="00D66173">
        <w:rPr>
          <w:rFonts w:ascii="Arial" w:hAnsi="Arial" w:cs="Arial"/>
          <w:color w:val="000000"/>
          <w:lang w:val="en-US"/>
        </w:rPr>
        <w:t>QT</w:t>
      </w:r>
      <w:r>
        <w:rPr>
          <w:rFonts w:ascii="Arial" w:hAnsi="Arial" w:cs="Arial"/>
          <w:color w:val="000000"/>
          <w:lang w:val="uk-UA"/>
        </w:rPr>
        <w:t xml:space="preserve"> (тобто</w:t>
      </w:r>
      <w:r w:rsidRPr="00713994">
        <w:rPr>
          <w:rFonts w:ascii="Arial" w:hAnsi="Arial" w:cs="Arial"/>
          <w:color w:val="000000"/>
          <w:lang w:val="uk-UA"/>
        </w:rPr>
        <w:t xml:space="preserve"> ЕКГ), дисфункцією печінки, порушеннями </w:t>
      </w:r>
      <w:r w:rsidR="00AD1D15">
        <w:rPr>
          <w:rFonts w:ascii="Arial" w:hAnsi="Arial" w:cs="Arial"/>
          <w:color w:val="000000"/>
          <w:lang w:val="uk-UA"/>
        </w:rPr>
        <w:t>функції нирок та іншими побічними р</w:t>
      </w:r>
      <w:r>
        <w:rPr>
          <w:rFonts w:ascii="Arial" w:hAnsi="Arial" w:cs="Arial"/>
          <w:color w:val="000000"/>
          <w:lang w:val="uk-UA"/>
        </w:rPr>
        <w:t>е</w:t>
      </w:r>
      <w:r w:rsidR="00AD1D15">
        <w:rPr>
          <w:rFonts w:ascii="Arial" w:hAnsi="Arial" w:cs="Arial"/>
          <w:color w:val="000000"/>
          <w:lang w:val="uk-UA"/>
        </w:rPr>
        <w:t>а</w:t>
      </w:r>
      <w:r>
        <w:rPr>
          <w:rFonts w:ascii="Arial" w:hAnsi="Arial" w:cs="Arial"/>
          <w:color w:val="000000"/>
          <w:lang w:val="uk-UA"/>
        </w:rPr>
        <w:t>кціями</w:t>
      </w:r>
      <w:r w:rsidRPr="00713994">
        <w:rPr>
          <w:rFonts w:ascii="Arial" w:hAnsi="Arial" w:cs="Arial"/>
          <w:color w:val="000000"/>
          <w:lang w:val="uk-UA"/>
        </w:rPr>
        <w:t>, як це зазначаено в стислому описі-інструкції, що міститься в упаковці лікарського засобу.</w:t>
      </w:r>
      <w:r w:rsidR="00AD1D15">
        <w:rPr>
          <w:rFonts w:ascii="Arial" w:hAnsi="Arial" w:cs="Arial"/>
          <w:color w:val="000000"/>
          <w:lang w:val="uk-UA"/>
        </w:rPr>
        <w:t xml:space="preserve"> </w:t>
      </w:r>
      <w:r w:rsidR="00AD1D15" w:rsidRPr="00AD1D15">
        <w:rPr>
          <w:rFonts w:ascii="Arial" w:hAnsi="Arial" w:cs="Arial"/>
          <w:b/>
          <w:color w:val="000000"/>
          <w:vertAlign w:val="superscript"/>
          <w:lang w:val="uk-UA"/>
        </w:rPr>
        <w:t>28</w:t>
      </w:r>
    </w:p>
    <w:p w14:paraId="101ED1EE" w14:textId="77777777" w:rsidR="00581A98" w:rsidRPr="00D66173" w:rsidRDefault="00581A98" w:rsidP="00581A98">
      <w:pPr>
        <w:pStyle w:val="ListParagraph1"/>
        <w:autoSpaceDE w:val="0"/>
        <w:autoSpaceDN w:val="0"/>
        <w:adjustRightInd w:val="0"/>
        <w:spacing w:after="0" w:line="240" w:lineRule="auto"/>
        <w:ind w:left="1056"/>
        <w:jc w:val="both"/>
        <w:rPr>
          <w:rFonts w:ascii="Arial" w:hAnsi="Arial" w:cs="Arial"/>
          <w:color w:val="000000"/>
          <w:lang w:val="uk-UA"/>
        </w:rPr>
      </w:pPr>
    </w:p>
    <w:p w14:paraId="20A0CC35" w14:textId="1FD33E79" w:rsidR="00581A98" w:rsidRPr="004A3F0F" w:rsidRDefault="00581A98" w:rsidP="00183A2E">
      <w:pPr>
        <w:pStyle w:val="ListParagraph1"/>
        <w:autoSpaceDE w:val="0"/>
        <w:autoSpaceDN w:val="0"/>
        <w:adjustRightInd w:val="0"/>
        <w:spacing w:after="0" w:line="240" w:lineRule="auto"/>
        <w:ind w:left="0"/>
        <w:jc w:val="both"/>
        <w:rPr>
          <w:rFonts w:ascii="Arial" w:hAnsi="Arial" w:cs="Arial"/>
          <w:color w:val="000000"/>
          <w:lang w:val="uk-UA"/>
        </w:rPr>
      </w:pPr>
      <w:r w:rsidRPr="00183A2E">
        <w:rPr>
          <w:rFonts w:ascii="Arial" w:hAnsi="Arial" w:cs="Arial"/>
          <w:b/>
          <w:color w:val="000000"/>
          <w:lang w:val="uk-UA"/>
        </w:rPr>
        <w:t>в.</w:t>
      </w:r>
      <w:r>
        <w:rPr>
          <w:rFonts w:ascii="Arial" w:hAnsi="Arial" w:cs="Arial"/>
          <w:color w:val="000000"/>
          <w:lang w:val="uk-UA"/>
        </w:rPr>
        <w:t xml:space="preserve"> </w:t>
      </w:r>
      <w:r w:rsidRPr="004A3F0F">
        <w:rPr>
          <w:rFonts w:ascii="Arial" w:hAnsi="Arial" w:cs="Arial"/>
          <w:color w:val="000000"/>
          <w:lang w:val="uk-UA"/>
        </w:rPr>
        <w:t>Слід проявляти обережність при введенні бедаквіліну разом з супутніми лікарськими засобами, які можуть пригнічуват</w:t>
      </w:r>
      <w:r>
        <w:rPr>
          <w:rFonts w:ascii="Arial" w:hAnsi="Arial" w:cs="Arial"/>
          <w:color w:val="000000"/>
          <w:lang w:val="uk-UA"/>
        </w:rPr>
        <w:t>и функцію печінки (наприклад, вплив</w:t>
      </w:r>
      <w:r w:rsidRPr="004A3F0F">
        <w:rPr>
          <w:rFonts w:ascii="Arial" w:hAnsi="Arial" w:cs="Arial"/>
          <w:color w:val="000000"/>
          <w:lang w:val="uk-UA"/>
        </w:rPr>
        <w:t xml:space="preserve"> кетоконазолу або лопінавіру</w:t>
      </w:r>
      <w:r>
        <w:rPr>
          <w:rFonts w:ascii="Arial" w:hAnsi="Arial" w:cs="Arial"/>
          <w:color w:val="000000"/>
          <w:lang w:val="uk-UA"/>
        </w:rPr>
        <w:t>/</w:t>
      </w:r>
      <w:r w:rsidRPr="004A3F0F">
        <w:rPr>
          <w:rFonts w:ascii="Arial" w:hAnsi="Arial" w:cs="Arial"/>
          <w:color w:val="000000"/>
          <w:lang w:val="uk-UA"/>
        </w:rPr>
        <w:t xml:space="preserve">ритонавіру на фермент </w:t>
      </w:r>
      <w:r w:rsidRPr="001818B9">
        <w:rPr>
          <w:rFonts w:ascii="Arial" w:hAnsi="Arial" w:cs="Arial"/>
          <w:color w:val="000000"/>
          <w:lang w:val="en-US"/>
        </w:rPr>
        <w:t>CYP</w:t>
      </w:r>
      <w:r w:rsidRPr="004A3F0F">
        <w:rPr>
          <w:rFonts w:ascii="Arial" w:hAnsi="Arial" w:cs="Arial"/>
          <w:color w:val="000000"/>
          <w:lang w:val="uk-UA"/>
        </w:rPr>
        <w:t>3</w:t>
      </w:r>
      <w:r w:rsidRPr="001818B9">
        <w:rPr>
          <w:rFonts w:ascii="Arial" w:hAnsi="Arial" w:cs="Arial"/>
          <w:color w:val="000000"/>
          <w:lang w:val="en-US"/>
        </w:rPr>
        <w:t>A</w:t>
      </w:r>
      <w:r w:rsidRPr="004A3F0F">
        <w:rPr>
          <w:rFonts w:ascii="Arial" w:hAnsi="Arial" w:cs="Arial"/>
          <w:color w:val="000000"/>
          <w:lang w:val="uk-UA"/>
        </w:rPr>
        <w:t>4), оскільки це може збільшити концентрацію бедакв</w:t>
      </w:r>
      <w:r>
        <w:rPr>
          <w:rFonts w:ascii="Arial" w:hAnsi="Arial" w:cs="Arial"/>
          <w:color w:val="000000"/>
          <w:lang w:val="uk-UA"/>
        </w:rPr>
        <w:t>іліну, що спричинить токсичність;</w:t>
      </w:r>
      <w:r w:rsidRPr="004A3F0F">
        <w:rPr>
          <w:rFonts w:ascii="Arial" w:hAnsi="Arial" w:cs="Arial"/>
          <w:color w:val="000000"/>
          <w:lang w:val="uk-UA"/>
        </w:rPr>
        <w:t xml:space="preserve"> або із супутніми препаратами, які можуть стимулювати ф</w:t>
      </w:r>
      <w:r>
        <w:rPr>
          <w:rFonts w:ascii="Arial" w:hAnsi="Arial" w:cs="Arial"/>
          <w:color w:val="000000"/>
          <w:lang w:val="uk-UA"/>
        </w:rPr>
        <w:t>ункцію печінки (наприклад, вплив</w:t>
      </w:r>
      <w:r w:rsidRPr="004A3F0F">
        <w:rPr>
          <w:rFonts w:ascii="Arial" w:hAnsi="Arial" w:cs="Arial"/>
          <w:color w:val="000000"/>
          <w:lang w:val="uk-UA"/>
        </w:rPr>
        <w:t xml:space="preserve"> рифампіцину на фермент </w:t>
      </w:r>
      <w:r w:rsidRPr="001818B9">
        <w:rPr>
          <w:rFonts w:ascii="Arial" w:hAnsi="Arial" w:cs="Arial"/>
          <w:color w:val="000000"/>
          <w:lang w:val="en-US"/>
        </w:rPr>
        <w:t>CYP</w:t>
      </w:r>
      <w:r w:rsidRPr="004A3F0F">
        <w:rPr>
          <w:rFonts w:ascii="Arial" w:hAnsi="Arial" w:cs="Arial"/>
          <w:color w:val="000000"/>
          <w:lang w:val="uk-UA"/>
        </w:rPr>
        <w:t>3</w:t>
      </w:r>
      <w:r w:rsidRPr="001818B9">
        <w:rPr>
          <w:rFonts w:ascii="Arial" w:hAnsi="Arial" w:cs="Arial"/>
          <w:color w:val="000000"/>
          <w:lang w:val="en-US"/>
        </w:rPr>
        <w:t>A</w:t>
      </w:r>
      <w:r w:rsidRPr="004A3F0F">
        <w:rPr>
          <w:rFonts w:ascii="Arial" w:hAnsi="Arial" w:cs="Arial"/>
          <w:color w:val="000000"/>
          <w:lang w:val="uk-UA"/>
        </w:rPr>
        <w:t>4), оскільки це може призвести до субтерапевтичних концентрацій</w:t>
      </w:r>
      <w:r>
        <w:rPr>
          <w:rFonts w:ascii="Arial" w:hAnsi="Arial" w:cs="Arial"/>
          <w:color w:val="000000"/>
          <w:lang w:val="uk-UA"/>
        </w:rPr>
        <w:t xml:space="preserve"> </w:t>
      </w:r>
      <w:r w:rsidRPr="004A3F0F">
        <w:rPr>
          <w:rFonts w:ascii="Arial" w:hAnsi="Arial" w:cs="Arial"/>
          <w:color w:val="000000"/>
          <w:lang w:val="uk-UA"/>
        </w:rPr>
        <w:t>бедаквіліну, що</w:t>
      </w:r>
      <w:r>
        <w:rPr>
          <w:rFonts w:ascii="Arial" w:hAnsi="Arial" w:cs="Arial"/>
          <w:color w:val="000000"/>
          <w:lang w:val="uk-UA"/>
        </w:rPr>
        <w:t xml:space="preserve"> </w:t>
      </w:r>
      <w:r w:rsidRPr="004A3F0F">
        <w:rPr>
          <w:rFonts w:ascii="Arial" w:hAnsi="Arial" w:cs="Arial"/>
          <w:color w:val="000000"/>
          <w:lang w:val="uk-UA"/>
        </w:rPr>
        <w:t>призводить</w:t>
      </w:r>
      <w:r>
        <w:rPr>
          <w:rFonts w:ascii="Arial" w:hAnsi="Arial" w:cs="Arial"/>
          <w:color w:val="000000"/>
          <w:lang w:val="uk-UA"/>
        </w:rPr>
        <w:t xml:space="preserve"> </w:t>
      </w:r>
      <w:r w:rsidRPr="004A3F0F">
        <w:rPr>
          <w:rFonts w:ascii="Arial" w:hAnsi="Arial" w:cs="Arial"/>
          <w:color w:val="000000"/>
          <w:lang w:val="uk-UA"/>
        </w:rPr>
        <w:t xml:space="preserve">до зменшення </w:t>
      </w:r>
      <w:r>
        <w:rPr>
          <w:rFonts w:ascii="Arial" w:hAnsi="Arial" w:cs="Arial"/>
          <w:color w:val="000000"/>
          <w:lang w:val="uk-UA"/>
        </w:rPr>
        <w:t xml:space="preserve">його </w:t>
      </w:r>
      <w:r w:rsidRPr="004A3F0F">
        <w:rPr>
          <w:rFonts w:ascii="Arial" w:hAnsi="Arial" w:cs="Arial"/>
          <w:color w:val="000000"/>
          <w:lang w:val="uk-UA"/>
        </w:rPr>
        <w:t>ефективності.</w:t>
      </w:r>
      <w:r>
        <w:rPr>
          <w:rFonts w:ascii="Arial" w:hAnsi="Arial" w:cs="Arial"/>
          <w:color w:val="000000"/>
          <w:lang w:val="uk-UA"/>
        </w:rPr>
        <w:t xml:space="preserve"> </w:t>
      </w:r>
      <w:r w:rsidRPr="00563BB0">
        <w:rPr>
          <w:rFonts w:ascii="Arial" w:hAnsi="Arial" w:cs="Arial"/>
          <w:color w:val="000000"/>
          <w:lang w:val="uk-UA"/>
        </w:rPr>
        <w:t>Слід зазначити про наявність дуже</w:t>
      </w:r>
      <w:r>
        <w:rPr>
          <w:rFonts w:ascii="Arial" w:hAnsi="Arial" w:cs="Arial"/>
          <w:color w:val="000000"/>
          <w:lang w:val="uk-UA"/>
        </w:rPr>
        <w:t xml:space="preserve"> </w:t>
      </w:r>
      <w:r w:rsidRPr="00563BB0">
        <w:rPr>
          <w:rFonts w:ascii="Arial" w:hAnsi="Arial" w:cs="Arial"/>
          <w:color w:val="000000"/>
          <w:lang w:val="uk-UA"/>
        </w:rPr>
        <w:t>обмежених</w:t>
      </w:r>
      <w:r>
        <w:rPr>
          <w:rFonts w:ascii="Arial" w:hAnsi="Arial" w:cs="Arial"/>
          <w:color w:val="000000"/>
          <w:lang w:val="uk-UA"/>
        </w:rPr>
        <w:t xml:space="preserve"> даних про взаємодію</w:t>
      </w:r>
      <w:r w:rsidR="00183A2E">
        <w:rPr>
          <w:rFonts w:ascii="Arial" w:hAnsi="Arial" w:cs="Arial"/>
          <w:color w:val="000000"/>
          <w:lang w:val="uk-UA"/>
        </w:rPr>
        <w:t xml:space="preserve"> </w:t>
      </w:r>
      <w:r>
        <w:rPr>
          <w:rFonts w:ascii="Arial" w:hAnsi="Arial" w:cs="Arial"/>
          <w:color w:val="000000"/>
          <w:lang w:val="uk-UA"/>
        </w:rPr>
        <w:t xml:space="preserve">ліків </w:t>
      </w:r>
      <w:r w:rsidRPr="00563BB0">
        <w:rPr>
          <w:rFonts w:ascii="Arial" w:hAnsi="Arial" w:cs="Arial"/>
          <w:color w:val="000000"/>
          <w:lang w:val="uk-UA"/>
        </w:rPr>
        <w:t>з антиретровірусними препаратами, і вони базуються на дослідженнях одноразової дози, які були проведені серед здорових добровольці</w:t>
      </w:r>
      <w:r>
        <w:rPr>
          <w:rFonts w:ascii="Arial" w:hAnsi="Arial" w:cs="Arial"/>
          <w:color w:val="000000"/>
          <w:lang w:val="uk-UA"/>
        </w:rPr>
        <w:t>в. Тому людям, які живуть з ВІЛ і</w:t>
      </w:r>
      <w:r w:rsidRPr="00563BB0">
        <w:rPr>
          <w:rFonts w:ascii="Arial" w:hAnsi="Arial" w:cs="Arial"/>
          <w:color w:val="000000"/>
          <w:lang w:val="uk-UA"/>
        </w:rPr>
        <w:t xml:space="preserve"> будуть отримувати бедаквілін в рамках лікування </w:t>
      </w:r>
      <w:r>
        <w:rPr>
          <w:rFonts w:ascii="Arial" w:hAnsi="Arial" w:cs="Arial"/>
          <w:color w:val="000000"/>
          <w:lang w:val="uk-UA"/>
        </w:rPr>
        <w:t>МР ТБ, повинні призначатися індивідуальні</w:t>
      </w:r>
      <w:r w:rsidRPr="00563BB0">
        <w:rPr>
          <w:rFonts w:ascii="Arial" w:hAnsi="Arial" w:cs="Arial"/>
          <w:color w:val="000000"/>
          <w:lang w:val="uk-UA"/>
        </w:rPr>
        <w:t xml:space="preserve"> схеми антиретровірусної терапії (АРТ), розроблені в тісній консультації з клініцистами з питань ВІЛ та спеціалістами з АРТ.</w:t>
      </w:r>
    </w:p>
    <w:p w14:paraId="53C6DB07" w14:textId="77777777" w:rsidR="00581A98" w:rsidRPr="001818B9" w:rsidRDefault="00581A98" w:rsidP="00581A98">
      <w:pPr>
        <w:pStyle w:val="ListParagraph1"/>
        <w:autoSpaceDE w:val="0"/>
        <w:autoSpaceDN w:val="0"/>
        <w:adjustRightInd w:val="0"/>
        <w:spacing w:after="0" w:line="240" w:lineRule="auto"/>
        <w:ind w:left="1068"/>
        <w:jc w:val="both"/>
        <w:rPr>
          <w:rFonts w:ascii="Arial" w:hAnsi="Arial" w:cs="Arial"/>
          <w:color w:val="000000"/>
          <w:lang w:val="uk-UA"/>
        </w:rPr>
      </w:pPr>
    </w:p>
    <w:p w14:paraId="0ECD8A37" w14:textId="77777777" w:rsidR="00581A98" w:rsidRDefault="00581A98" w:rsidP="00183A2E">
      <w:pPr>
        <w:pStyle w:val="ListParagraph1"/>
        <w:autoSpaceDE w:val="0"/>
        <w:autoSpaceDN w:val="0"/>
        <w:adjustRightInd w:val="0"/>
        <w:spacing w:after="0" w:line="240" w:lineRule="auto"/>
        <w:ind w:left="0"/>
        <w:jc w:val="both"/>
        <w:rPr>
          <w:rFonts w:ascii="Arial" w:hAnsi="Arial" w:cs="Arial"/>
          <w:color w:val="000000"/>
          <w:lang w:val="uk-UA"/>
        </w:rPr>
      </w:pPr>
      <w:r w:rsidRPr="00183A2E">
        <w:rPr>
          <w:rFonts w:ascii="Arial" w:hAnsi="Arial" w:cs="Arial"/>
          <w:b/>
          <w:color w:val="000000"/>
          <w:lang w:val="uk-UA"/>
        </w:rPr>
        <w:t>г.</w:t>
      </w:r>
      <w:r>
        <w:rPr>
          <w:rFonts w:ascii="Arial" w:hAnsi="Arial" w:cs="Arial"/>
          <w:color w:val="000000"/>
          <w:lang w:val="uk-UA"/>
        </w:rPr>
        <w:t xml:space="preserve"> </w:t>
      </w:r>
      <w:r w:rsidRPr="00713994">
        <w:rPr>
          <w:rFonts w:ascii="Arial" w:hAnsi="Arial" w:cs="Arial"/>
          <w:color w:val="000000"/>
          <w:lang w:val="uk-UA"/>
        </w:rPr>
        <w:t xml:space="preserve">Нарешті, пацієнтам з хронічними захворюваннями слід </w:t>
      </w:r>
      <w:r>
        <w:rPr>
          <w:rFonts w:ascii="Arial" w:hAnsi="Arial" w:cs="Arial"/>
          <w:color w:val="000000"/>
          <w:lang w:val="uk-UA"/>
        </w:rPr>
        <w:t>також бути обережними, адже вони</w:t>
      </w:r>
      <w:r w:rsidRPr="00713994">
        <w:rPr>
          <w:rFonts w:ascii="Arial" w:hAnsi="Arial" w:cs="Arial"/>
          <w:color w:val="000000"/>
          <w:lang w:val="uk-UA"/>
        </w:rPr>
        <w:t xml:space="preserve"> можуть загостритися або погіршитися внаслідок прийому бедаквіліну. В даний час відсутні дані щодо ефективності та безпечності бідаквіліну для пацієнтів з </w:t>
      </w:r>
      <w:r>
        <w:rPr>
          <w:rFonts w:ascii="Arial" w:hAnsi="Arial" w:cs="Arial"/>
          <w:color w:val="000000"/>
          <w:lang w:val="uk-UA"/>
        </w:rPr>
        <w:t>супутніми захворюваннями</w:t>
      </w:r>
      <w:r w:rsidRPr="00713994">
        <w:rPr>
          <w:rFonts w:ascii="Arial" w:hAnsi="Arial" w:cs="Arial"/>
          <w:color w:val="000000"/>
          <w:lang w:val="uk-UA"/>
        </w:rPr>
        <w:t>, такими як діабет, ди</w:t>
      </w:r>
      <w:r>
        <w:rPr>
          <w:rFonts w:ascii="Arial" w:hAnsi="Arial" w:cs="Arial"/>
          <w:color w:val="000000"/>
          <w:lang w:val="uk-UA"/>
        </w:rPr>
        <w:t>сфункція печінки та/або нирок, злоякісними</w:t>
      </w:r>
      <w:r w:rsidRPr="00713994">
        <w:rPr>
          <w:rFonts w:ascii="Arial" w:hAnsi="Arial" w:cs="Arial"/>
          <w:color w:val="000000"/>
          <w:lang w:val="uk-UA"/>
        </w:rPr>
        <w:t xml:space="preserve"> новоутворення, </w:t>
      </w:r>
      <w:r>
        <w:rPr>
          <w:rFonts w:ascii="Arial" w:hAnsi="Arial" w:cs="Arial"/>
          <w:color w:val="000000"/>
          <w:lang w:val="uk-UA"/>
        </w:rPr>
        <w:t>та тих, хто вживає алкоголь</w:t>
      </w:r>
      <w:r w:rsidRPr="00713994">
        <w:rPr>
          <w:rFonts w:ascii="Arial" w:hAnsi="Arial" w:cs="Arial"/>
          <w:color w:val="000000"/>
          <w:lang w:val="uk-UA"/>
        </w:rPr>
        <w:t xml:space="preserve"> та </w:t>
      </w:r>
      <w:r>
        <w:rPr>
          <w:rFonts w:ascii="Arial" w:hAnsi="Arial" w:cs="Arial"/>
          <w:color w:val="000000"/>
          <w:lang w:val="uk-UA"/>
        </w:rPr>
        <w:t xml:space="preserve">наркотичні </w:t>
      </w:r>
      <w:r w:rsidRPr="00713994">
        <w:rPr>
          <w:rFonts w:ascii="Arial" w:hAnsi="Arial" w:cs="Arial"/>
          <w:color w:val="000000"/>
          <w:lang w:val="uk-UA"/>
        </w:rPr>
        <w:t>речовин</w:t>
      </w:r>
      <w:r>
        <w:rPr>
          <w:rFonts w:ascii="Arial" w:hAnsi="Arial" w:cs="Arial"/>
          <w:color w:val="000000"/>
          <w:lang w:val="uk-UA"/>
        </w:rPr>
        <w:t>и</w:t>
      </w:r>
      <w:r w:rsidRPr="00713994">
        <w:rPr>
          <w:rFonts w:ascii="Arial" w:hAnsi="Arial" w:cs="Arial"/>
          <w:color w:val="000000"/>
          <w:lang w:val="uk-UA"/>
        </w:rPr>
        <w:t xml:space="preserve">, тому слід проводити </w:t>
      </w:r>
      <w:r>
        <w:rPr>
          <w:rFonts w:ascii="Arial" w:hAnsi="Arial" w:cs="Arial"/>
          <w:color w:val="000000"/>
          <w:lang w:val="uk-UA"/>
        </w:rPr>
        <w:t>ретельний</w:t>
      </w:r>
      <w:r w:rsidRPr="00713994">
        <w:rPr>
          <w:rFonts w:ascii="Arial" w:hAnsi="Arial" w:cs="Arial"/>
          <w:color w:val="000000"/>
          <w:lang w:val="uk-UA"/>
        </w:rPr>
        <w:t xml:space="preserve"> скринінг цих захворювань до початку лікування.</w:t>
      </w:r>
    </w:p>
    <w:p w14:paraId="4B3C8480" w14:textId="77777777" w:rsidR="00183A2E" w:rsidRDefault="00183A2E" w:rsidP="00183A2E">
      <w:pPr>
        <w:pStyle w:val="ListParagraph1"/>
        <w:autoSpaceDE w:val="0"/>
        <w:autoSpaceDN w:val="0"/>
        <w:adjustRightInd w:val="0"/>
        <w:spacing w:after="0" w:line="240" w:lineRule="auto"/>
        <w:ind w:left="0"/>
        <w:jc w:val="both"/>
        <w:rPr>
          <w:rFonts w:ascii="Arial" w:hAnsi="Arial" w:cs="Arial"/>
          <w:color w:val="000000"/>
          <w:lang w:val="uk-UA"/>
        </w:rPr>
      </w:pPr>
    </w:p>
    <w:p w14:paraId="73E43BC4" w14:textId="77777777" w:rsidR="00183A2E" w:rsidRPr="00713994" w:rsidRDefault="00183A2E" w:rsidP="00183A2E">
      <w:pPr>
        <w:autoSpaceDE w:val="0"/>
        <w:autoSpaceDN w:val="0"/>
        <w:adjustRightInd w:val="0"/>
        <w:spacing w:after="0" w:line="240" w:lineRule="auto"/>
        <w:jc w:val="both"/>
        <w:rPr>
          <w:rFonts w:ascii="Arial" w:hAnsi="Arial" w:cs="Arial"/>
          <w:color w:val="000000"/>
          <w:lang w:val="uk-UA"/>
        </w:rPr>
      </w:pPr>
      <w:r w:rsidRPr="00713994">
        <w:rPr>
          <w:rFonts w:ascii="Arial" w:hAnsi="Arial" w:cs="Arial"/>
          <w:color w:val="000000"/>
          <w:lang w:val="uk-UA"/>
        </w:rPr>
        <w:t xml:space="preserve">ВООЗ настійно рекомендує прискорити випробування </w:t>
      </w:r>
      <w:r>
        <w:rPr>
          <w:rFonts w:ascii="Arial" w:hAnsi="Arial" w:cs="Arial"/>
          <w:color w:val="000000"/>
          <w:lang w:val="uk-UA"/>
        </w:rPr>
        <w:t xml:space="preserve">ІІІ </w:t>
      </w:r>
      <w:r w:rsidRPr="00713994">
        <w:rPr>
          <w:rFonts w:ascii="Arial" w:hAnsi="Arial" w:cs="Arial"/>
          <w:color w:val="000000"/>
          <w:lang w:val="uk-UA"/>
        </w:rPr>
        <w:t>Фази з метою розробки більш вичерпно</w:t>
      </w:r>
      <w:r>
        <w:rPr>
          <w:rFonts w:ascii="Arial" w:hAnsi="Arial" w:cs="Arial"/>
          <w:color w:val="000000"/>
          <w:lang w:val="uk-UA"/>
        </w:rPr>
        <w:t>ї доказової база для їх використання при розробці майбутніх</w:t>
      </w:r>
      <w:r w:rsidRPr="00713994">
        <w:rPr>
          <w:rFonts w:ascii="Arial" w:hAnsi="Arial" w:cs="Arial"/>
          <w:color w:val="000000"/>
          <w:lang w:val="uk-UA"/>
        </w:rPr>
        <w:t xml:space="preserve"> рекомендацій щодо</w:t>
      </w:r>
      <w:r>
        <w:rPr>
          <w:rFonts w:ascii="Arial" w:hAnsi="Arial" w:cs="Arial"/>
          <w:color w:val="000000"/>
          <w:lang w:val="uk-UA"/>
        </w:rPr>
        <w:t xml:space="preserve"> застосування</w:t>
      </w:r>
      <w:r w:rsidRPr="00713994">
        <w:rPr>
          <w:rFonts w:ascii="Arial" w:hAnsi="Arial" w:cs="Arial"/>
          <w:color w:val="000000"/>
          <w:lang w:val="uk-UA"/>
        </w:rPr>
        <w:t xml:space="preserve"> бедаквіліну.</w:t>
      </w:r>
    </w:p>
    <w:p w14:paraId="15D5B887" w14:textId="77777777" w:rsidR="00183A2E" w:rsidRPr="00183A2E" w:rsidRDefault="00183A2E" w:rsidP="00183A2E">
      <w:pPr>
        <w:autoSpaceDE w:val="0"/>
        <w:autoSpaceDN w:val="0"/>
        <w:adjustRightInd w:val="0"/>
        <w:spacing w:after="0" w:line="240" w:lineRule="auto"/>
        <w:jc w:val="both"/>
        <w:rPr>
          <w:rFonts w:ascii="Arial" w:hAnsi="Arial" w:cs="Arial"/>
          <w:color w:val="FFFFFF"/>
          <w:lang w:val="uk-UA"/>
        </w:rPr>
      </w:pPr>
      <w:r w:rsidRPr="00713994">
        <w:rPr>
          <w:rFonts w:ascii="Arial" w:hAnsi="Arial" w:cs="Arial"/>
          <w:color w:val="000000"/>
          <w:lang w:val="uk-UA"/>
        </w:rPr>
        <w:t>ВООЗ настійно закликає до розробки точ</w:t>
      </w:r>
      <w:r>
        <w:rPr>
          <w:rFonts w:ascii="Arial" w:hAnsi="Arial" w:cs="Arial"/>
          <w:color w:val="000000"/>
          <w:lang w:val="uk-UA"/>
        </w:rPr>
        <w:t>них та відтворюваних ТМЧ</w:t>
      </w:r>
      <w:r w:rsidRPr="00713994">
        <w:rPr>
          <w:rFonts w:ascii="Arial" w:hAnsi="Arial" w:cs="Arial"/>
          <w:color w:val="000000"/>
          <w:lang w:val="uk-UA"/>
        </w:rPr>
        <w:t xml:space="preserve"> для бедаквіліну та інших лікарських препаратів </w:t>
      </w:r>
      <w:r>
        <w:rPr>
          <w:rFonts w:ascii="Arial" w:hAnsi="Arial" w:cs="Arial"/>
          <w:color w:val="000000"/>
          <w:lang w:val="uk-UA"/>
        </w:rPr>
        <w:t>другого ряду</w:t>
      </w:r>
    </w:p>
    <w:p w14:paraId="38BEA0D9" w14:textId="4314E34B" w:rsidR="007A1F0B" w:rsidRPr="00713994" w:rsidRDefault="007A1F0B" w:rsidP="007A1F0B">
      <w:pPr>
        <w:autoSpaceDE w:val="0"/>
        <w:autoSpaceDN w:val="0"/>
        <w:adjustRightInd w:val="0"/>
        <w:spacing w:after="0" w:line="240" w:lineRule="auto"/>
        <w:jc w:val="both"/>
        <w:rPr>
          <w:rFonts w:ascii="Arial" w:hAnsi="Arial" w:cs="Arial"/>
          <w:color w:val="000000"/>
          <w:sz w:val="20"/>
          <w:szCs w:val="20"/>
          <w:lang w:val="uk-UA"/>
        </w:rPr>
      </w:pPr>
      <w:r w:rsidRPr="00713994">
        <w:rPr>
          <w:rFonts w:ascii="Arial" w:hAnsi="Arial" w:cs="Arial"/>
          <w:color w:val="000000"/>
          <w:sz w:val="20"/>
          <w:szCs w:val="20"/>
          <w:lang w:val="uk-UA"/>
        </w:rPr>
        <w:t>________________</w:t>
      </w:r>
    </w:p>
    <w:p w14:paraId="042D7935" w14:textId="77777777" w:rsidR="007A1F0B" w:rsidRPr="00183A2E" w:rsidRDefault="007A1F0B" w:rsidP="007A1F0B">
      <w:pPr>
        <w:autoSpaceDE w:val="0"/>
        <w:autoSpaceDN w:val="0"/>
        <w:adjustRightInd w:val="0"/>
        <w:spacing w:after="0" w:line="240" w:lineRule="auto"/>
        <w:rPr>
          <w:rFonts w:ascii="Arial" w:hAnsi="Arial" w:cs="Arial"/>
          <w:color w:val="000000"/>
          <w:sz w:val="15"/>
          <w:szCs w:val="15"/>
        </w:rPr>
      </w:pPr>
      <w:r w:rsidRPr="00183A2E">
        <w:rPr>
          <w:rFonts w:ascii="Arial" w:hAnsi="Arial" w:cs="Arial"/>
          <w:b/>
          <w:color w:val="000000"/>
          <w:sz w:val="15"/>
          <w:szCs w:val="15"/>
          <w:vertAlign w:val="superscript"/>
          <w:lang w:val="uk-UA"/>
        </w:rPr>
        <w:t>28</w:t>
      </w:r>
      <w:r w:rsidRPr="00183A2E">
        <w:rPr>
          <w:rFonts w:ascii="Arial" w:hAnsi="Arial" w:cs="Arial"/>
          <w:color w:val="000000"/>
          <w:sz w:val="15"/>
          <w:szCs w:val="15"/>
          <w:lang w:val="uk-UA"/>
        </w:rPr>
        <w:t xml:space="preserve"> Необхідно зазначити, що бедаквілін має дуже великий очевидний обсяг дистрибуції і має значно тривалий період напіввиведення (близько 5,5 місяців), що відображає повільне вивільнення сполуки з периферичних шарів тканини. </w:t>
      </w:r>
      <w:r w:rsidRPr="00183A2E">
        <w:rPr>
          <w:rFonts w:ascii="Arial" w:hAnsi="Arial" w:cs="Arial"/>
          <w:color w:val="000000"/>
          <w:sz w:val="15"/>
          <w:szCs w:val="15"/>
        </w:rPr>
        <w:t>Дивись</w:t>
      </w:r>
      <w:r w:rsidRPr="00183A2E">
        <w:rPr>
          <w:rFonts w:ascii="Arial" w:hAnsi="Arial" w:cs="Arial"/>
          <w:color w:val="000000"/>
          <w:sz w:val="15"/>
          <w:szCs w:val="15"/>
          <w:lang w:val="uk-UA"/>
        </w:rPr>
        <w:t xml:space="preserve"> на сайті</w:t>
      </w:r>
      <w:r w:rsidRPr="00183A2E">
        <w:rPr>
          <w:rFonts w:ascii="Arial" w:hAnsi="Arial" w:cs="Arial"/>
          <w:color w:val="000000"/>
          <w:sz w:val="15"/>
          <w:szCs w:val="15"/>
        </w:rPr>
        <w:t xml:space="preserve">: </w:t>
      </w:r>
      <w:r w:rsidRPr="00183A2E">
        <w:rPr>
          <w:rFonts w:ascii="Arial" w:hAnsi="Arial" w:cs="Arial"/>
          <w:color w:val="000000"/>
          <w:sz w:val="15"/>
          <w:szCs w:val="15"/>
          <w:lang w:val="en-US"/>
        </w:rPr>
        <w:t>http</w:t>
      </w:r>
      <w:r w:rsidRPr="00183A2E">
        <w:rPr>
          <w:rFonts w:ascii="Arial" w:hAnsi="Arial" w:cs="Arial"/>
          <w:color w:val="000000"/>
          <w:sz w:val="15"/>
          <w:szCs w:val="15"/>
        </w:rPr>
        <w:t>://</w:t>
      </w:r>
      <w:r w:rsidRPr="00183A2E">
        <w:rPr>
          <w:rFonts w:ascii="Arial" w:hAnsi="Arial" w:cs="Arial"/>
          <w:color w:val="000000"/>
          <w:sz w:val="15"/>
          <w:szCs w:val="15"/>
          <w:lang w:val="en-US"/>
        </w:rPr>
        <w:t>www</w:t>
      </w:r>
      <w:r w:rsidRPr="00183A2E">
        <w:rPr>
          <w:rFonts w:ascii="Arial" w:hAnsi="Arial" w:cs="Arial"/>
          <w:color w:val="000000"/>
          <w:sz w:val="15"/>
          <w:szCs w:val="15"/>
        </w:rPr>
        <w:t>.</w:t>
      </w:r>
      <w:r w:rsidRPr="00183A2E">
        <w:rPr>
          <w:rFonts w:ascii="Arial" w:hAnsi="Arial" w:cs="Arial"/>
          <w:color w:val="000000"/>
          <w:sz w:val="15"/>
          <w:szCs w:val="15"/>
          <w:lang w:val="en-US"/>
        </w:rPr>
        <w:t>fda</w:t>
      </w:r>
      <w:r w:rsidRPr="00183A2E">
        <w:rPr>
          <w:rFonts w:ascii="Arial" w:hAnsi="Arial" w:cs="Arial"/>
          <w:color w:val="000000"/>
          <w:sz w:val="15"/>
          <w:szCs w:val="15"/>
        </w:rPr>
        <w:t>.</w:t>
      </w:r>
      <w:r w:rsidRPr="00183A2E">
        <w:rPr>
          <w:rFonts w:ascii="Arial" w:hAnsi="Arial" w:cs="Arial"/>
          <w:color w:val="000000"/>
          <w:sz w:val="15"/>
          <w:szCs w:val="15"/>
          <w:lang w:val="en-US"/>
        </w:rPr>
        <w:t>gov</w:t>
      </w:r>
      <w:r w:rsidRPr="00183A2E">
        <w:rPr>
          <w:rFonts w:ascii="Arial" w:hAnsi="Arial" w:cs="Arial"/>
          <w:color w:val="000000"/>
          <w:sz w:val="15"/>
          <w:szCs w:val="15"/>
        </w:rPr>
        <w:t>/</w:t>
      </w:r>
      <w:r w:rsidRPr="00183A2E">
        <w:rPr>
          <w:rFonts w:ascii="Arial" w:hAnsi="Arial" w:cs="Arial"/>
          <w:color w:val="000000"/>
          <w:sz w:val="15"/>
          <w:szCs w:val="15"/>
          <w:lang w:val="en-US"/>
        </w:rPr>
        <w:t>downloads</w:t>
      </w:r>
      <w:r w:rsidRPr="00183A2E">
        <w:rPr>
          <w:rFonts w:ascii="Arial" w:hAnsi="Arial" w:cs="Arial"/>
          <w:color w:val="000000"/>
          <w:sz w:val="15"/>
          <w:szCs w:val="15"/>
        </w:rPr>
        <w:t>/</w:t>
      </w:r>
      <w:r w:rsidRPr="00183A2E">
        <w:rPr>
          <w:rFonts w:ascii="Arial" w:hAnsi="Arial" w:cs="Arial"/>
          <w:color w:val="000000"/>
          <w:sz w:val="15"/>
          <w:szCs w:val="15"/>
          <w:lang w:val="en-US"/>
        </w:rPr>
        <w:t>AdvisoryCommittees</w:t>
      </w:r>
      <w:r w:rsidRPr="00183A2E">
        <w:rPr>
          <w:rFonts w:ascii="Arial" w:hAnsi="Arial" w:cs="Arial"/>
          <w:color w:val="000000"/>
          <w:sz w:val="15"/>
          <w:szCs w:val="15"/>
        </w:rPr>
        <w:t>/</w:t>
      </w:r>
      <w:r w:rsidRPr="00183A2E">
        <w:rPr>
          <w:rFonts w:ascii="Arial" w:hAnsi="Arial" w:cs="Arial"/>
          <w:color w:val="000000"/>
          <w:sz w:val="15"/>
          <w:szCs w:val="15"/>
          <w:lang w:val="en-US"/>
        </w:rPr>
        <w:t>CommitteesMeetingMaterials</w:t>
      </w:r>
      <w:r w:rsidRPr="00183A2E">
        <w:rPr>
          <w:rFonts w:ascii="Arial" w:hAnsi="Arial" w:cs="Arial"/>
          <w:color w:val="000000"/>
          <w:sz w:val="15"/>
          <w:szCs w:val="15"/>
        </w:rPr>
        <w:t>/</w:t>
      </w:r>
      <w:r w:rsidRPr="00183A2E">
        <w:rPr>
          <w:rFonts w:ascii="Arial" w:hAnsi="Arial" w:cs="Arial"/>
          <w:color w:val="000000"/>
          <w:sz w:val="15"/>
          <w:szCs w:val="15"/>
          <w:lang w:val="en-US"/>
        </w:rPr>
        <w:t>Drugs</w:t>
      </w:r>
      <w:r w:rsidRPr="00183A2E">
        <w:rPr>
          <w:rFonts w:ascii="Arial" w:hAnsi="Arial" w:cs="Arial"/>
          <w:color w:val="000000"/>
          <w:sz w:val="15"/>
          <w:szCs w:val="15"/>
        </w:rPr>
        <w:t>/</w:t>
      </w:r>
      <w:r w:rsidRPr="00183A2E">
        <w:rPr>
          <w:rFonts w:ascii="Arial" w:hAnsi="Arial" w:cs="Arial"/>
          <w:color w:val="000000"/>
          <w:sz w:val="15"/>
          <w:szCs w:val="15"/>
          <w:lang w:val="en-US"/>
        </w:rPr>
        <w:t>Anti</w:t>
      </w:r>
      <w:r w:rsidRPr="00183A2E">
        <w:rPr>
          <w:rFonts w:ascii="Arial" w:hAnsi="Arial" w:cs="Arial"/>
          <w:color w:val="000000"/>
          <w:sz w:val="15"/>
          <w:szCs w:val="15"/>
        </w:rPr>
        <w:t>-</w:t>
      </w:r>
    </w:p>
    <w:p w14:paraId="22DDED56" w14:textId="77777777" w:rsidR="00D02B51" w:rsidRDefault="007A1F0B" w:rsidP="0037724F">
      <w:pPr>
        <w:autoSpaceDE w:val="0"/>
        <w:autoSpaceDN w:val="0"/>
        <w:adjustRightInd w:val="0"/>
        <w:spacing w:after="0" w:line="240" w:lineRule="auto"/>
        <w:jc w:val="both"/>
        <w:rPr>
          <w:rFonts w:ascii="Arial" w:hAnsi="Arial" w:cs="Arial"/>
          <w:color w:val="000000"/>
          <w:sz w:val="15"/>
          <w:szCs w:val="15"/>
        </w:rPr>
      </w:pPr>
      <w:r w:rsidRPr="00183A2E">
        <w:rPr>
          <w:rFonts w:ascii="Arial" w:hAnsi="Arial" w:cs="Arial"/>
          <w:color w:val="000000"/>
          <w:sz w:val="15"/>
          <w:szCs w:val="15"/>
          <w:lang w:val="en-US"/>
        </w:rPr>
        <w:t>InfectiveDrugsAdvisoryCommittee</w:t>
      </w:r>
      <w:r w:rsidRPr="00183A2E">
        <w:rPr>
          <w:rFonts w:ascii="Arial" w:hAnsi="Arial" w:cs="Arial"/>
          <w:color w:val="000000"/>
          <w:sz w:val="15"/>
          <w:szCs w:val="15"/>
        </w:rPr>
        <w:t>/</w:t>
      </w:r>
      <w:r w:rsidRPr="00183A2E">
        <w:rPr>
          <w:rFonts w:ascii="Arial" w:hAnsi="Arial" w:cs="Arial"/>
          <w:color w:val="000000"/>
          <w:sz w:val="15"/>
          <w:szCs w:val="15"/>
          <w:lang w:val="en-US"/>
        </w:rPr>
        <w:t>UCM</w:t>
      </w:r>
      <w:r w:rsidRPr="00183A2E">
        <w:rPr>
          <w:rFonts w:ascii="Arial" w:hAnsi="Arial" w:cs="Arial"/>
          <w:color w:val="000000"/>
          <w:sz w:val="15"/>
          <w:szCs w:val="15"/>
        </w:rPr>
        <w:t>329260.</w:t>
      </w:r>
      <w:r w:rsidRPr="00183A2E">
        <w:rPr>
          <w:rFonts w:ascii="Arial" w:hAnsi="Arial" w:cs="Arial"/>
          <w:color w:val="000000"/>
          <w:sz w:val="15"/>
          <w:szCs w:val="15"/>
          <w:lang w:val="en-US"/>
        </w:rPr>
        <w:t>pdf</w:t>
      </w:r>
    </w:p>
    <w:p w14:paraId="51A71B82" w14:textId="36E6B078" w:rsidR="00E568A1" w:rsidRPr="000326B3" w:rsidRDefault="00E568A1" w:rsidP="0037724F">
      <w:pPr>
        <w:autoSpaceDE w:val="0"/>
        <w:autoSpaceDN w:val="0"/>
        <w:adjustRightInd w:val="0"/>
        <w:spacing w:after="0" w:line="240" w:lineRule="auto"/>
        <w:jc w:val="both"/>
        <w:rPr>
          <w:rFonts w:ascii="Arial" w:hAnsi="Arial" w:cs="Arial"/>
          <w:color w:val="C00000"/>
          <w:sz w:val="15"/>
          <w:szCs w:val="15"/>
        </w:rPr>
      </w:pPr>
      <w:r w:rsidRPr="000326B3">
        <w:rPr>
          <w:rFonts w:ascii="Arial" w:hAnsi="Arial" w:cs="Arial"/>
          <w:b/>
          <w:bCs/>
          <w:color w:val="C00000"/>
          <w:sz w:val="32"/>
          <w:szCs w:val="32"/>
        </w:rPr>
        <w:lastRenderedPageBreak/>
        <w:t xml:space="preserve">7. Поширення та </w:t>
      </w:r>
      <w:r w:rsidR="00354F1B" w:rsidRPr="000326B3">
        <w:rPr>
          <w:rFonts w:ascii="Arial" w:hAnsi="Arial" w:cs="Arial"/>
          <w:b/>
          <w:bCs/>
          <w:color w:val="C00000"/>
          <w:sz w:val="32"/>
          <w:szCs w:val="32"/>
          <w:lang w:val="uk-UA"/>
        </w:rPr>
        <w:t>імплементація</w:t>
      </w:r>
    </w:p>
    <w:p w14:paraId="12D729EA" w14:textId="77777777" w:rsidR="00E568A1" w:rsidRPr="00713994" w:rsidRDefault="00E568A1" w:rsidP="0037724F">
      <w:pPr>
        <w:autoSpaceDE w:val="0"/>
        <w:autoSpaceDN w:val="0"/>
        <w:adjustRightInd w:val="0"/>
        <w:spacing w:after="0" w:line="240" w:lineRule="auto"/>
        <w:jc w:val="both"/>
        <w:rPr>
          <w:rFonts w:ascii="Arial" w:hAnsi="Arial" w:cs="Arial"/>
          <w:color w:val="000000"/>
          <w:sz w:val="24"/>
          <w:szCs w:val="24"/>
        </w:rPr>
      </w:pPr>
    </w:p>
    <w:p w14:paraId="636FA7C2" w14:textId="3FDE2C09" w:rsidR="00E568A1" w:rsidRDefault="00E568A1" w:rsidP="00790AB7">
      <w:pPr>
        <w:autoSpaceDE w:val="0"/>
        <w:autoSpaceDN w:val="0"/>
        <w:adjustRightInd w:val="0"/>
        <w:spacing w:after="0" w:line="240" w:lineRule="auto"/>
        <w:jc w:val="both"/>
        <w:rPr>
          <w:rFonts w:ascii="Arial" w:hAnsi="Arial" w:cs="Arial"/>
          <w:color w:val="000000"/>
        </w:rPr>
      </w:pPr>
      <w:r w:rsidRPr="00713994">
        <w:rPr>
          <w:rFonts w:ascii="Arial" w:hAnsi="Arial" w:cs="Arial"/>
          <w:color w:val="000000"/>
        </w:rPr>
        <w:t>Тимчасові рекомендації В</w:t>
      </w:r>
      <w:r w:rsidR="007320A7">
        <w:rPr>
          <w:rFonts w:ascii="Arial" w:hAnsi="Arial" w:cs="Arial"/>
          <w:color w:val="000000"/>
        </w:rPr>
        <w:t xml:space="preserve">ООЗ, </w:t>
      </w:r>
      <w:r w:rsidR="001732DF">
        <w:rPr>
          <w:rFonts w:ascii="Arial" w:hAnsi="Arial" w:cs="Arial"/>
          <w:color w:val="000000"/>
        </w:rPr>
        <w:t>систематичні аналітичні звіти, а також звіт</w:t>
      </w:r>
      <w:r w:rsidRPr="00713994">
        <w:rPr>
          <w:rFonts w:ascii="Arial" w:hAnsi="Arial" w:cs="Arial"/>
          <w:color w:val="000000"/>
        </w:rPr>
        <w:t xml:space="preserve"> засідання ЕГ, будуть опубліковані в Інтернеті (</w:t>
      </w:r>
      <w:r w:rsidRPr="00BB3D16">
        <w:rPr>
          <w:rFonts w:ascii="Arial" w:hAnsi="Arial" w:cs="Arial"/>
          <w:color w:val="000000"/>
          <w:lang w:val="en-US"/>
        </w:rPr>
        <w:t>www</w:t>
      </w:r>
      <w:r w:rsidRPr="00713994">
        <w:rPr>
          <w:rFonts w:ascii="Arial" w:hAnsi="Arial" w:cs="Arial"/>
          <w:color w:val="000000"/>
        </w:rPr>
        <w:t>.</w:t>
      </w:r>
      <w:r w:rsidRPr="00BB3D16">
        <w:rPr>
          <w:rFonts w:ascii="Arial" w:hAnsi="Arial" w:cs="Arial"/>
          <w:color w:val="000000"/>
          <w:lang w:val="en-US"/>
        </w:rPr>
        <w:t>who</w:t>
      </w:r>
      <w:r w:rsidRPr="00713994">
        <w:rPr>
          <w:rFonts w:ascii="Arial" w:hAnsi="Arial" w:cs="Arial"/>
          <w:color w:val="000000"/>
        </w:rPr>
        <w:t>.</w:t>
      </w:r>
      <w:r w:rsidRPr="00BB3D16">
        <w:rPr>
          <w:rFonts w:ascii="Arial" w:hAnsi="Arial" w:cs="Arial"/>
          <w:color w:val="000000"/>
          <w:lang w:val="en-US"/>
        </w:rPr>
        <w:t>int</w:t>
      </w:r>
      <w:r w:rsidRPr="00713994">
        <w:rPr>
          <w:rFonts w:ascii="Arial" w:hAnsi="Arial" w:cs="Arial"/>
          <w:color w:val="000000"/>
        </w:rPr>
        <w:t>/</w:t>
      </w:r>
      <w:r w:rsidRPr="00BB3D16">
        <w:rPr>
          <w:rFonts w:ascii="Arial" w:hAnsi="Arial" w:cs="Arial"/>
          <w:color w:val="000000"/>
          <w:lang w:val="en-US"/>
        </w:rPr>
        <w:t>tb</w:t>
      </w:r>
      <w:r w:rsidRPr="00713994">
        <w:rPr>
          <w:rFonts w:ascii="Arial" w:hAnsi="Arial" w:cs="Arial"/>
          <w:color w:val="000000"/>
        </w:rPr>
        <w:t>/</w:t>
      </w:r>
      <w:r w:rsidRPr="00BB3D16">
        <w:rPr>
          <w:rFonts w:ascii="Arial" w:hAnsi="Arial" w:cs="Arial"/>
          <w:color w:val="000000"/>
          <w:lang w:val="en-US"/>
        </w:rPr>
        <w:t>en</w:t>
      </w:r>
      <w:r w:rsidR="001732DF">
        <w:rPr>
          <w:rFonts w:ascii="Arial" w:hAnsi="Arial" w:cs="Arial"/>
          <w:color w:val="000000"/>
        </w:rPr>
        <w:t>) та розповсюджені згідно списку</w:t>
      </w:r>
      <w:r w:rsidRPr="00713994">
        <w:rPr>
          <w:rFonts w:ascii="Arial" w:hAnsi="Arial" w:cs="Arial"/>
          <w:color w:val="000000"/>
        </w:rPr>
        <w:t xml:space="preserve"> розсилки </w:t>
      </w:r>
      <w:r w:rsidR="001732DF">
        <w:rPr>
          <w:rFonts w:ascii="Arial" w:hAnsi="Arial" w:cs="Arial"/>
          <w:color w:val="000000"/>
        </w:rPr>
        <w:t>Відділу</w:t>
      </w:r>
      <w:r w:rsidRPr="00713994">
        <w:rPr>
          <w:rFonts w:ascii="Arial" w:hAnsi="Arial" w:cs="Arial"/>
          <w:color w:val="000000"/>
        </w:rPr>
        <w:t xml:space="preserve"> </w:t>
      </w:r>
      <w:r w:rsidR="001732DF" w:rsidRPr="00713994">
        <w:rPr>
          <w:rFonts w:ascii="Arial" w:hAnsi="Arial" w:cs="Arial"/>
          <w:color w:val="000000"/>
        </w:rPr>
        <w:t xml:space="preserve">ВООЗ </w:t>
      </w:r>
      <w:r w:rsidRPr="00713994">
        <w:rPr>
          <w:rFonts w:ascii="Arial" w:hAnsi="Arial" w:cs="Arial"/>
          <w:color w:val="000000"/>
        </w:rPr>
        <w:t xml:space="preserve">"Стор ТБ" серед усіх регіональних офісів та представництв ВООЗ в країні, держав-членів ВООЗ, надані </w:t>
      </w:r>
      <w:r w:rsidRPr="002D30D3">
        <w:rPr>
          <w:rFonts w:ascii="Arial" w:hAnsi="Arial" w:cs="Arial"/>
          <w:color w:val="000000"/>
        </w:rPr>
        <w:t xml:space="preserve">Товариству </w:t>
      </w:r>
      <w:r w:rsidR="002D30D3" w:rsidRPr="002D30D3">
        <w:rPr>
          <w:rFonts w:ascii="Arial" w:hAnsi="Arial" w:cs="Arial"/>
          <w:color w:val="000000"/>
        </w:rPr>
        <w:t>"Стоп ТБ</w:t>
      </w:r>
      <w:r w:rsidRPr="002D30D3">
        <w:rPr>
          <w:rFonts w:ascii="Arial" w:hAnsi="Arial" w:cs="Arial"/>
          <w:color w:val="000000"/>
        </w:rPr>
        <w:t>",</w:t>
      </w:r>
      <w:r w:rsidRPr="00713994">
        <w:rPr>
          <w:rFonts w:ascii="Arial" w:hAnsi="Arial" w:cs="Arial"/>
          <w:color w:val="000000"/>
        </w:rPr>
        <w:t xml:space="preserve"> донорам, технічним агенціям та іншим зацікавленим сторонам. Як зазначено вище, ці тимчасові р</w:t>
      </w:r>
      <w:r w:rsidR="007A1F0B" w:rsidRPr="00713994">
        <w:rPr>
          <w:rFonts w:ascii="Arial" w:hAnsi="Arial" w:cs="Arial"/>
          <w:color w:val="000000"/>
        </w:rPr>
        <w:t>екомендації будуть переглянуті у</w:t>
      </w:r>
      <w:r w:rsidRPr="00713994">
        <w:rPr>
          <w:rFonts w:ascii="Arial" w:hAnsi="Arial" w:cs="Arial"/>
          <w:color w:val="000000"/>
        </w:rPr>
        <w:t xml:space="preserve"> 2015 році або раніше, якщо з'являться дода</w:t>
      </w:r>
      <w:r w:rsidR="00192763">
        <w:rPr>
          <w:rFonts w:ascii="Arial" w:hAnsi="Arial" w:cs="Arial"/>
          <w:color w:val="000000"/>
        </w:rPr>
        <w:t>ткові важливі дані, які сприятимуть</w:t>
      </w:r>
      <w:r w:rsidRPr="00713994">
        <w:rPr>
          <w:rFonts w:ascii="Arial" w:hAnsi="Arial" w:cs="Arial"/>
          <w:color w:val="000000"/>
        </w:rPr>
        <w:t xml:space="preserve"> р</w:t>
      </w:r>
      <w:r w:rsidR="00192763">
        <w:rPr>
          <w:rFonts w:ascii="Arial" w:hAnsi="Arial" w:cs="Arial"/>
          <w:color w:val="000000"/>
        </w:rPr>
        <w:t>озширенню знань щодо безпеки</w:t>
      </w:r>
      <w:r w:rsidRPr="00713994">
        <w:rPr>
          <w:rFonts w:ascii="Arial" w:hAnsi="Arial" w:cs="Arial"/>
          <w:color w:val="000000"/>
        </w:rPr>
        <w:t xml:space="preserve">, токсичності та ефективності </w:t>
      </w:r>
      <w:r w:rsidR="00192763">
        <w:rPr>
          <w:rFonts w:ascii="Arial" w:hAnsi="Arial" w:cs="Arial"/>
          <w:color w:val="000000"/>
        </w:rPr>
        <w:t>застосування бедаквіліну (наприклад, пост</w:t>
      </w:r>
      <w:r w:rsidRPr="00713994">
        <w:rPr>
          <w:rFonts w:ascii="Arial" w:hAnsi="Arial" w:cs="Arial"/>
          <w:color w:val="000000"/>
        </w:rPr>
        <w:t xml:space="preserve">маркетинові дослідження, поточні випробування та дослідження). </w:t>
      </w:r>
      <w:r w:rsidR="00192763">
        <w:rPr>
          <w:rFonts w:ascii="Arial" w:hAnsi="Arial" w:cs="Arial"/>
          <w:color w:val="000000"/>
        </w:rPr>
        <w:t xml:space="preserve">Саме тому, </w:t>
      </w:r>
      <w:r w:rsidRPr="00BB3D16">
        <w:rPr>
          <w:rFonts w:ascii="Arial" w:hAnsi="Arial" w:cs="Arial"/>
          <w:color w:val="000000"/>
          <w:lang w:val="en-US"/>
        </w:rPr>
        <w:t>US</w:t>
      </w:r>
      <w:r w:rsidRPr="00BB3D16">
        <w:rPr>
          <w:rFonts w:ascii="Arial" w:hAnsi="Arial" w:cs="Arial"/>
          <w:color w:val="000000"/>
        </w:rPr>
        <w:t>-</w:t>
      </w:r>
      <w:r w:rsidRPr="00BB3D16">
        <w:rPr>
          <w:rFonts w:ascii="Arial" w:hAnsi="Arial" w:cs="Arial"/>
          <w:color w:val="000000"/>
          <w:lang w:val="en-US"/>
        </w:rPr>
        <w:t>FDA</w:t>
      </w:r>
      <w:r w:rsidR="00192763">
        <w:rPr>
          <w:rFonts w:ascii="Arial" w:hAnsi="Arial" w:cs="Arial"/>
          <w:color w:val="000000"/>
        </w:rPr>
        <w:t xml:space="preserve"> звернулась до компанії</w:t>
      </w:r>
      <w:r w:rsidRPr="00BB3D16">
        <w:rPr>
          <w:rFonts w:ascii="Arial" w:hAnsi="Arial" w:cs="Arial"/>
          <w:color w:val="000000"/>
        </w:rPr>
        <w:t xml:space="preserve"> з наступним</w:t>
      </w:r>
      <w:r w:rsidR="00192763">
        <w:rPr>
          <w:rFonts w:ascii="Arial" w:hAnsi="Arial" w:cs="Arial"/>
          <w:color w:val="000000"/>
        </w:rPr>
        <w:t>и</w:t>
      </w:r>
      <w:r w:rsidRPr="00BB3D16">
        <w:rPr>
          <w:rFonts w:ascii="Arial" w:hAnsi="Arial" w:cs="Arial"/>
          <w:color w:val="000000"/>
        </w:rPr>
        <w:t xml:space="preserve"> проханням</w:t>
      </w:r>
      <w:r w:rsidR="00192763">
        <w:rPr>
          <w:rFonts w:ascii="Arial" w:hAnsi="Arial" w:cs="Arial"/>
          <w:color w:val="000000"/>
        </w:rPr>
        <w:t>и</w:t>
      </w:r>
      <w:r w:rsidRPr="00BB3D16">
        <w:rPr>
          <w:rFonts w:ascii="Arial" w:hAnsi="Arial" w:cs="Arial"/>
          <w:color w:val="000000"/>
        </w:rPr>
        <w:t>:</w:t>
      </w:r>
    </w:p>
    <w:p w14:paraId="4D83AEB1" w14:textId="77777777" w:rsidR="00E568A1" w:rsidRPr="00BB3D16" w:rsidRDefault="00E568A1" w:rsidP="00790AB7">
      <w:pPr>
        <w:autoSpaceDE w:val="0"/>
        <w:autoSpaceDN w:val="0"/>
        <w:adjustRightInd w:val="0"/>
        <w:spacing w:after="0" w:line="240" w:lineRule="auto"/>
        <w:jc w:val="both"/>
        <w:rPr>
          <w:rFonts w:ascii="Arial" w:hAnsi="Arial" w:cs="Arial"/>
          <w:color w:val="000000"/>
        </w:rPr>
      </w:pPr>
    </w:p>
    <w:p w14:paraId="4FD1A7BF" w14:textId="0B996827" w:rsidR="00E568A1" w:rsidRPr="00E30336" w:rsidRDefault="00192763" w:rsidP="00E3033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rPr>
        <w:t>“- Дані Фази</w:t>
      </w:r>
      <w:r w:rsidR="00EE6FBB">
        <w:rPr>
          <w:rFonts w:ascii="Arial" w:hAnsi="Arial" w:cs="Arial"/>
          <w:color w:val="000000"/>
        </w:rPr>
        <w:t xml:space="preserve"> </w:t>
      </w:r>
      <w:r w:rsidR="00EE6FBB" w:rsidRPr="00E30336">
        <w:rPr>
          <w:rFonts w:ascii="Arial" w:hAnsi="Arial" w:cs="Arial"/>
          <w:color w:val="000000"/>
          <w:lang w:val="en-US"/>
        </w:rPr>
        <w:t>III</w:t>
      </w:r>
      <w:r w:rsidR="00EE6FBB">
        <w:rPr>
          <w:rFonts w:ascii="Arial" w:hAnsi="Arial" w:cs="Arial"/>
          <w:color w:val="000000"/>
        </w:rPr>
        <w:t xml:space="preserve"> клінічного дослідження випадків</w:t>
      </w:r>
      <w:r w:rsidR="00E568A1" w:rsidRPr="00E30336">
        <w:rPr>
          <w:rFonts w:ascii="Arial" w:hAnsi="Arial" w:cs="Arial"/>
          <w:color w:val="000000"/>
        </w:rPr>
        <w:t xml:space="preserve"> </w:t>
      </w:r>
      <w:r w:rsidR="009B51D9">
        <w:rPr>
          <w:rFonts w:ascii="Arial" w:hAnsi="Arial" w:cs="Arial"/>
          <w:color w:val="000000"/>
        </w:rPr>
        <w:t>МР ТБ</w:t>
      </w:r>
      <w:r w:rsidR="00E568A1" w:rsidRPr="00E30336">
        <w:rPr>
          <w:rFonts w:ascii="Arial" w:hAnsi="Arial" w:cs="Arial"/>
          <w:color w:val="000000"/>
        </w:rPr>
        <w:t>, з оцінкою довготермінових н</w:t>
      </w:r>
      <w:r w:rsidR="00EE6FBB">
        <w:rPr>
          <w:rFonts w:ascii="Arial" w:hAnsi="Arial" w:cs="Arial"/>
          <w:color w:val="000000"/>
        </w:rPr>
        <w:t>аслідків невдалого лікування</w:t>
      </w:r>
      <w:r w:rsidR="00E568A1" w:rsidRPr="00E30336">
        <w:rPr>
          <w:rFonts w:ascii="Arial" w:hAnsi="Arial" w:cs="Arial"/>
          <w:color w:val="000000"/>
        </w:rPr>
        <w:t xml:space="preserve"> або рецидиву принаймні через 6 місяців після </w:t>
      </w:r>
      <w:r w:rsidR="00EE6FBB">
        <w:rPr>
          <w:rFonts w:ascii="Arial" w:hAnsi="Arial" w:cs="Arial"/>
          <w:color w:val="000000"/>
        </w:rPr>
        <w:t xml:space="preserve">остаточного </w:t>
      </w:r>
      <w:r w:rsidR="00E568A1" w:rsidRPr="00E30336">
        <w:rPr>
          <w:rFonts w:ascii="Arial" w:hAnsi="Arial" w:cs="Arial"/>
          <w:color w:val="000000"/>
        </w:rPr>
        <w:t xml:space="preserve">закінчення лікування </w:t>
      </w:r>
      <w:r w:rsidR="009B51D9">
        <w:rPr>
          <w:rFonts w:ascii="Arial" w:hAnsi="Arial" w:cs="Arial"/>
          <w:color w:val="000000"/>
        </w:rPr>
        <w:t>МР ТБ</w:t>
      </w:r>
      <w:r w:rsidR="00EE6FBB">
        <w:rPr>
          <w:rFonts w:ascii="Arial" w:hAnsi="Arial" w:cs="Arial"/>
          <w:color w:val="000000"/>
        </w:rPr>
        <w:t xml:space="preserve"> (звіт повиннен бути поданий на розгляд</w:t>
      </w:r>
      <w:r w:rsidR="00E568A1" w:rsidRPr="00E30336">
        <w:rPr>
          <w:rFonts w:ascii="Arial" w:hAnsi="Arial" w:cs="Arial"/>
          <w:color w:val="000000"/>
        </w:rPr>
        <w:t xml:space="preserve"> до березня 2022 р.).</w:t>
      </w:r>
    </w:p>
    <w:p w14:paraId="391D365C" w14:textId="77777777" w:rsidR="00E568A1" w:rsidRPr="00A60AE1" w:rsidRDefault="00E568A1" w:rsidP="009B51D9">
      <w:pPr>
        <w:autoSpaceDE w:val="0"/>
        <w:autoSpaceDN w:val="0"/>
        <w:adjustRightInd w:val="0"/>
        <w:spacing w:after="0" w:line="240" w:lineRule="auto"/>
        <w:jc w:val="both"/>
        <w:outlineLvl w:val="0"/>
        <w:rPr>
          <w:rFonts w:ascii="Arial" w:hAnsi="Arial" w:cs="Arial"/>
          <w:color w:val="FFFFFF"/>
        </w:rPr>
      </w:pPr>
      <w:r w:rsidRPr="00A60AE1">
        <w:rPr>
          <w:rFonts w:ascii="Arial" w:hAnsi="Arial" w:cs="Arial"/>
          <w:color w:val="FFFFFF"/>
        </w:rPr>
        <w:t>34</w:t>
      </w:r>
    </w:p>
    <w:p w14:paraId="30BB3772" w14:textId="29766BDE" w:rsidR="00E568A1" w:rsidRDefault="00E568A1" w:rsidP="0037724F">
      <w:pPr>
        <w:autoSpaceDE w:val="0"/>
        <w:autoSpaceDN w:val="0"/>
        <w:adjustRightInd w:val="0"/>
        <w:spacing w:after="0" w:line="240" w:lineRule="auto"/>
        <w:jc w:val="both"/>
        <w:rPr>
          <w:rFonts w:ascii="Arial" w:hAnsi="Arial" w:cs="Arial"/>
          <w:color w:val="000000"/>
        </w:rPr>
      </w:pPr>
      <w:r w:rsidRPr="00A60AE1">
        <w:rPr>
          <w:rFonts w:ascii="Arial" w:hAnsi="Arial" w:cs="Arial"/>
          <w:color w:val="000000"/>
        </w:rPr>
        <w:t xml:space="preserve">- Створення реєстру усіх пацієнтів, які проходили лікування з </w:t>
      </w:r>
      <w:r w:rsidR="007D3500">
        <w:rPr>
          <w:rFonts w:ascii="Arial" w:hAnsi="Arial" w:cs="Arial"/>
          <w:color w:val="000000"/>
        </w:rPr>
        <w:t>застосування</w:t>
      </w:r>
      <w:r w:rsidRPr="00A60AE1">
        <w:rPr>
          <w:rFonts w:ascii="Arial" w:hAnsi="Arial" w:cs="Arial"/>
          <w:color w:val="000000"/>
        </w:rPr>
        <w:t>м</w:t>
      </w:r>
      <w:r w:rsidR="00EE6FBB">
        <w:rPr>
          <w:rFonts w:ascii="Arial" w:hAnsi="Arial" w:cs="Arial"/>
          <w:color w:val="000000"/>
        </w:rPr>
        <w:t xml:space="preserve"> бедаквіліну, для оцінки випадків</w:t>
      </w:r>
      <w:r w:rsidRPr="00A60AE1">
        <w:rPr>
          <w:rFonts w:ascii="Arial" w:hAnsi="Arial" w:cs="Arial"/>
          <w:color w:val="000000"/>
        </w:rPr>
        <w:t xml:space="preserve"> </w:t>
      </w:r>
      <w:r w:rsidR="00EE6FBB">
        <w:rPr>
          <w:rFonts w:ascii="Arial" w:hAnsi="Arial" w:cs="Arial"/>
          <w:color w:val="000000"/>
        </w:rPr>
        <w:t xml:space="preserve">пов'язаних з безпекою прийому бедаквіліну </w:t>
      </w:r>
      <w:r w:rsidRPr="00A60AE1">
        <w:rPr>
          <w:rFonts w:ascii="Arial" w:hAnsi="Arial" w:cs="Arial"/>
          <w:color w:val="000000"/>
        </w:rPr>
        <w:t>(з річною звітністю до 2018 року).</w:t>
      </w:r>
    </w:p>
    <w:p w14:paraId="194AE9F5" w14:textId="77777777" w:rsidR="007A1F0B" w:rsidRPr="00A60AE1" w:rsidRDefault="007A1F0B" w:rsidP="0037724F">
      <w:pPr>
        <w:autoSpaceDE w:val="0"/>
        <w:autoSpaceDN w:val="0"/>
        <w:adjustRightInd w:val="0"/>
        <w:spacing w:after="0" w:line="240" w:lineRule="auto"/>
        <w:jc w:val="both"/>
        <w:rPr>
          <w:rFonts w:ascii="Arial" w:hAnsi="Arial" w:cs="Arial"/>
          <w:color w:val="000000"/>
        </w:rPr>
      </w:pPr>
    </w:p>
    <w:p w14:paraId="69FE11CD" w14:textId="602A492B" w:rsidR="00E568A1" w:rsidRDefault="00E568A1" w:rsidP="0037724F">
      <w:pPr>
        <w:autoSpaceDE w:val="0"/>
        <w:autoSpaceDN w:val="0"/>
        <w:adjustRightInd w:val="0"/>
        <w:spacing w:after="0" w:line="240" w:lineRule="auto"/>
        <w:jc w:val="both"/>
        <w:rPr>
          <w:rFonts w:ascii="Arial" w:hAnsi="Arial" w:cs="Arial"/>
          <w:color w:val="000000"/>
        </w:rPr>
      </w:pPr>
      <w:r w:rsidRPr="00777485">
        <w:rPr>
          <w:rFonts w:ascii="Arial" w:hAnsi="Arial" w:cs="Arial"/>
          <w:color w:val="000000"/>
        </w:rPr>
        <w:t xml:space="preserve">- Дослідження для визначення методів МІС для бедаквіліну (до 2014 </w:t>
      </w:r>
      <w:r w:rsidR="00EE6FBB">
        <w:rPr>
          <w:rFonts w:ascii="Arial" w:hAnsi="Arial" w:cs="Arial"/>
          <w:color w:val="000000"/>
        </w:rPr>
        <w:t>р.), та оцінки фактичних МІС в клінічній практиці</w:t>
      </w:r>
      <w:r w:rsidRPr="00777485">
        <w:rPr>
          <w:rFonts w:ascii="Arial" w:hAnsi="Arial" w:cs="Arial"/>
          <w:color w:val="000000"/>
        </w:rPr>
        <w:t xml:space="preserve"> (до 2019 р.).</w:t>
      </w:r>
    </w:p>
    <w:p w14:paraId="52FDCF58" w14:textId="77777777" w:rsidR="007A1F0B" w:rsidRDefault="007A1F0B" w:rsidP="0037724F">
      <w:pPr>
        <w:autoSpaceDE w:val="0"/>
        <w:autoSpaceDN w:val="0"/>
        <w:adjustRightInd w:val="0"/>
        <w:spacing w:after="0" w:line="240" w:lineRule="auto"/>
        <w:jc w:val="both"/>
        <w:rPr>
          <w:rFonts w:ascii="Arial" w:hAnsi="Arial" w:cs="Arial"/>
          <w:color w:val="000000"/>
        </w:rPr>
      </w:pPr>
    </w:p>
    <w:p w14:paraId="6E08560E" w14:textId="414B935B" w:rsidR="00E568A1" w:rsidRPr="00A60AE1" w:rsidRDefault="00E568A1" w:rsidP="0037724F">
      <w:pPr>
        <w:autoSpaceDE w:val="0"/>
        <w:autoSpaceDN w:val="0"/>
        <w:adjustRightInd w:val="0"/>
        <w:spacing w:after="0" w:line="240" w:lineRule="auto"/>
        <w:jc w:val="both"/>
        <w:rPr>
          <w:rFonts w:ascii="Arial" w:hAnsi="Arial" w:cs="Arial"/>
          <w:color w:val="000000"/>
        </w:rPr>
      </w:pPr>
      <w:r w:rsidRPr="007B3322">
        <w:rPr>
          <w:rFonts w:ascii="Arial" w:hAnsi="Arial" w:cs="Arial"/>
          <w:color w:val="000000"/>
        </w:rPr>
        <w:t xml:space="preserve">- Дослідження </w:t>
      </w:r>
      <w:r w:rsidRPr="007B3322">
        <w:rPr>
          <w:rFonts w:ascii="Arial" w:hAnsi="Arial" w:cs="Arial"/>
          <w:i/>
          <w:color w:val="000000"/>
          <w:lang w:val="en-US"/>
        </w:rPr>
        <w:t>in</w:t>
      </w:r>
      <w:r w:rsidRPr="007B3322">
        <w:rPr>
          <w:rFonts w:ascii="Arial" w:hAnsi="Arial" w:cs="Arial"/>
          <w:i/>
          <w:color w:val="000000"/>
        </w:rPr>
        <w:t xml:space="preserve"> </w:t>
      </w:r>
      <w:r w:rsidRPr="007B3322">
        <w:rPr>
          <w:rFonts w:ascii="Arial" w:hAnsi="Arial" w:cs="Arial"/>
          <w:i/>
          <w:color w:val="000000"/>
          <w:lang w:val="en-US"/>
        </w:rPr>
        <w:t>vitro</w:t>
      </w:r>
      <w:r w:rsidRPr="007B3322">
        <w:rPr>
          <w:rFonts w:ascii="Arial" w:hAnsi="Arial" w:cs="Arial"/>
          <w:color w:val="000000"/>
        </w:rPr>
        <w:t xml:space="preserve"> для оцінки потенціалу </w:t>
      </w:r>
      <w:r w:rsidR="00EE6FBB">
        <w:rPr>
          <w:rFonts w:ascii="Arial" w:hAnsi="Arial" w:cs="Arial"/>
          <w:color w:val="000000"/>
        </w:rPr>
        <w:t xml:space="preserve">дії </w:t>
      </w:r>
      <w:r w:rsidRPr="007B3322">
        <w:rPr>
          <w:rFonts w:ascii="Arial" w:hAnsi="Arial" w:cs="Arial"/>
          <w:color w:val="000000"/>
        </w:rPr>
        <w:t>бедаквіліну та його метабол</w:t>
      </w:r>
      <w:r w:rsidR="00EE6FBB">
        <w:rPr>
          <w:rFonts w:ascii="Arial" w:hAnsi="Arial" w:cs="Arial"/>
          <w:color w:val="000000"/>
        </w:rPr>
        <w:t>ітів</w:t>
      </w:r>
      <w:r w:rsidRPr="007B3322">
        <w:rPr>
          <w:rFonts w:ascii="Arial" w:hAnsi="Arial" w:cs="Arial"/>
          <w:color w:val="000000"/>
        </w:rPr>
        <w:t xml:space="preserve"> в якості субстрату, індукторів або </w:t>
      </w:r>
      <w:r w:rsidR="00EE6FBB" w:rsidRPr="00EE6FBB">
        <w:rPr>
          <w:rFonts w:ascii="Arial" w:hAnsi="Arial" w:cs="Arial"/>
          <w:color w:val="000000"/>
        </w:rPr>
        <w:t>інгібіторів переносників лікарської речовини</w:t>
      </w:r>
      <w:r w:rsidRPr="00EE6FBB">
        <w:rPr>
          <w:rFonts w:ascii="Arial" w:hAnsi="Arial" w:cs="Arial"/>
          <w:color w:val="000000"/>
        </w:rPr>
        <w:t xml:space="preserve"> </w:t>
      </w:r>
      <w:r w:rsidRPr="00EE6FBB">
        <w:rPr>
          <w:rFonts w:ascii="Arial" w:hAnsi="Arial" w:cs="Arial"/>
          <w:color w:val="000000"/>
          <w:lang w:val="en-US"/>
        </w:rPr>
        <w:t>OATP</w:t>
      </w:r>
      <w:r w:rsidRPr="00EE6FBB">
        <w:rPr>
          <w:rFonts w:ascii="Arial" w:hAnsi="Arial" w:cs="Arial"/>
          <w:color w:val="000000"/>
        </w:rPr>
        <w:t>1</w:t>
      </w:r>
      <w:r w:rsidRPr="00EE6FBB">
        <w:rPr>
          <w:rFonts w:ascii="Arial" w:hAnsi="Arial" w:cs="Arial"/>
          <w:color w:val="000000"/>
          <w:lang w:val="en-US"/>
        </w:rPr>
        <w:t>B</w:t>
      </w:r>
      <w:r w:rsidRPr="00EE6FBB">
        <w:rPr>
          <w:rFonts w:ascii="Arial" w:hAnsi="Arial" w:cs="Arial"/>
          <w:color w:val="000000"/>
        </w:rPr>
        <w:t xml:space="preserve">1 та </w:t>
      </w:r>
      <w:r w:rsidRPr="00EE6FBB">
        <w:rPr>
          <w:rFonts w:ascii="Arial" w:hAnsi="Arial" w:cs="Arial"/>
          <w:color w:val="000000"/>
          <w:lang w:val="en-US"/>
        </w:rPr>
        <w:t>OATP</w:t>
      </w:r>
      <w:r w:rsidRPr="00EE6FBB">
        <w:rPr>
          <w:rFonts w:ascii="Arial" w:hAnsi="Arial" w:cs="Arial"/>
          <w:color w:val="000000"/>
        </w:rPr>
        <w:t>1</w:t>
      </w:r>
      <w:r w:rsidRPr="00EE6FBB">
        <w:rPr>
          <w:rFonts w:ascii="Arial" w:hAnsi="Arial" w:cs="Arial"/>
          <w:color w:val="000000"/>
          <w:lang w:val="en-US"/>
        </w:rPr>
        <w:t>B</w:t>
      </w:r>
      <w:r w:rsidRPr="00EE6FBB">
        <w:rPr>
          <w:rFonts w:ascii="Arial" w:hAnsi="Arial" w:cs="Arial"/>
          <w:color w:val="000000"/>
        </w:rPr>
        <w:t>3 (до грудня 2013 року).</w:t>
      </w:r>
      <w:r w:rsidRPr="007B3322">
        <w:rPr>
          <w:rFonts w:ascii="Arial" w:hAnsi="Arial" w:cs="Arial"/>
          <w:color w:val="000000"/>
        </w:rPr>
        <w:t xml:space="preserve"> </w:t>
      </w:r>
      <w:r w:rsidRPr="00A60AE1">
        <w:rPr>
          <w:rFonts w:ascii="Arial" w:hAnsi="Arial" w:cs="Arial"/>
          <w:color w:val="000000"/>
        </w:rPr>
        <w:t>"</w:t>
      </w:r>
    </w:p>
    <w:p w14:paraId="50DA574A" w14:textId="77777777" w:rsidR="00E568A1" w:rsidRPr="00A60AE1" w:rsidRDefault="00E568A1" w:rsidP="0037724F">
      <w:pPr>
        <w:autoSpaceDE w:val="0"/>
        <w:autoSpaceDN w:val="0"/>
        <w:adjustRightInd w:val="0"/>
        <w:spacing w:after="0" w:line="240" w:lineRule="auto"/>
        <w:jc w:val="both"/>
        <w:rPr>
          <w:rFonts w:ascii="Arial" w:hAnsi="Arial" w:cs="Arial"/>
          <w:color w:val="000000"/>
        </w:rPr>
      </w:pPr>
    </w:p>
    <w:p w14:paraId="635383A1" w14:textId="31CF8978" w:rsidR="00E568A1" w:rsidRPr="00A81BDF" w:rsidRDefault="00EE6FBB" w:rsidP="0037724F">
      <w:pPr>
        <w:autoSpaceDE w:val="0"/>
        <w:autoSpaceDN w:val="0"/>
        <w:adjustRightInd w:val="0"/>
        <w:spacing w:after="0" w:line="240" w:lineRule="auto"/>
        <w:jc w:val="both"/>
        <w:rPr>
          <w:rFonts w:ascii="Arial" w:hAnsi="Arial" w:cs="Arial"/>
          <w:color w:val="FFFFFF"/>
        </w:rPr>
      </w:pPr>
      <w:r>
        <w:rPr>
          <w:rFonts w:ascii="Arial" w:hAnsi="Arial" w:cs="Arial"/>
          <w:color w:val="000000"/>
        </w:rPr>
        <w:t>Для полегшення реалізації цих рекомендацій</w:t>
      </w:r>
      <w:r w:rsidR="00E568A1" w:rsidRPr="007B3322">
        <w:rPr>
          <w:rFonts w:ascii="Arial" w:hAnsi="Arial" w:cs="Arial"/>
          <w:color w:val="000000"/>
        </w:rPr>
        <w:t xml:space="preserve"> буде </w:t>
      </w:r>
      <w:r w:rsidR="00E568A1">
        <w:rPr>
          <w:rFonts w:ascii="Arial" w:hAnsi="Arial" w:cs="Arial"/>
          <w:color w:val="000000"/>
        </w:rPr>
        <w:t xml:space="preserve">розроблено похідний інструмент </w:t>
      </w:r>
      <w:r>
        <w:rPr>
          <w:rFonts w:ascii="Arial" w:hAnsi="Arial" w:cs="Arial"/>
          <w:color w:val="000000"/>
        </w:rPr>
        <w:t>(тобто оперативна інструкція</w:t>
      </w:r>
      <w:r w:rsidR="00E568A1" w:rsidRPr="007B3322">
        <w:rPr>
          <w:rFonts w:ascii="Arial" w:hAnsi="Arial" w:cs="Arial"/>
          <w:color w:val="000000"/>
        </w:rPr>
        <w:t>).</w:t>
      </w:r>
      <w:r w:rsidR="002A401A">
        <w:rPr>
          <w:rFonts w:ascii="Arial" w:hAnsi="Arial" w:cs="Arial"/>
          <w:color w:val="000000"/>
        </w:rPr>
        <w:t xml:space="preserve"> ВООЗ надасть рекомендації</w:t>
      </w:r>
      <w:r w:rsidR="00E568A1" w:rsidRPr="007B3322">
        <w:rPr>
          <w:rFonts w:ascii="Arial" w:hAnsi="Arial" w:cs="Arial"/>
          <w:color w:val="000000"/>
        </w:rPr>
        <w:t xml:space="preserve"> для програм</w:t>
      </w:r>
      <w:r w:rsidR="002A401A">
        <w:rPr>
          <w:rFonts w:ascii="Arial" w:hAnsi="Arial" w:cs="Arial"/>
          <w:color w:val="000000"/>
        </w:rPr>
        <w:t>, які здійснюють</w:t>
      </w:r>
      <w:r w:rsidR="00E568A1" w:rsidRPr="007B3322">
        <w:rPr>
          <w:rFonts w:ascii="Arial" w:hAnsi="Arial" w:cs="Arial"/>
          <w:color w:val="000000"/>
        </w:rPr>
        <w:t xml:space="preserve"> моніторингу та оцінки </w:t>
      </w:r>
      <w:r w:rsidR="002A401A">
        <w:rPr>
          <w:rFonts w:ascii="Arial" w:hAnsi="Arial" w:cs="Arial"/>
          <w:color w:val="000000"/>
        </w:rPr>
        <w:t xml:space="preserve">щодо відповідних </w:t>
      </w:r>
      <w:r w:rsidR="00E568A1" w:rsidRPr="007B3322">
        <w:rPr>
          <w:rFonts w:ascii="Arial" w:hAnsi="Arial" w:cs="Arial"/>
          <w:color w:val="000000"/>
        </w:rPr>
        <w:t xml:space="preserve">аспектів, а також щодо </w:t>
      </w:r>
      <w:r w:rsidR="00D74126">
        <w:rPr>
          <w:rFonts w:ascii="Arial" w:hAnsi="Arial" w:cs="Arial"/>
          <w:color w:val="000000"/>
        </w:rPr>
        <w:t>того, які саме</w:t>
      </w:r>
      <w:r w:rsidR="009C2606">
        <w:rPr>
          <w:rFonts w:ascii="Arial" w:hAnsi="Arial" w:cs="Arial"/>
          <w:color w:val="000000"/>
        </w:rPr>
        <w:t xml:space="preserve"> дані </w:t>
      </w:r>
      <w:r w:rsidR="00E568A1" w:rsidRPr="007B3322">
        <w:rPr>
          <w:rFonts w:ascii="Arial" w:hAnsi="Arial" w:cs="Arial"/>
          <w:color w:val="000000"/>
        </w:rPr>
        <w:t>необхідно збирати.</w:t>
      </w:r>
      <w:r w:rsidR="00E568A1" w:rsidRPr="00A81BDF">
        <w:rPr>
          <w:rFonts w:ascii="Arial" w:hAnsi="Arial" w:cs="Arial"/>
          <w:color w:val="FFFFFF"/>
        </w:rPr>
        <w:t>35</w:t>
      </w:r>
    </w:p>
    <w:p w14:paraId="15ED97D9" w14:textId="77777777" w:rsidR="00E568A1" w:rsidRPr="00A81BDF" w:rsidRDefault="00E568A1" w:rsidP="0037724F">
      <w:pPr>
        <w:autoSpaceDE w:val="0"/>
        <w:autoSpaceDN w:val="0"/>
        <w:adjustRightInd w:val="0"/>
        <w:spacing w:after="0" w:line="240" w:lineRule="auto"/>
        <w:jc w:val="both"/>
        <w:rPr>
          <w:rFonts w:ascii="Arial" w:hAnsi="Arial" w:cs="Arial"/>
          <w:color w:val="FFFFFF"/>
        </w:rPr>
      </w:pPr>
    </w:p>
    <w:p w14:paraId="56E729EF" w14:textId="77777777" w:rsidR="00E568A1" w:rsidRPr="00A81BDF" w:rsidRDefault="00E568A1" w:rsidP="0037724F">
      <w:pPr>
        <w:autoSpaceDE w:val="0"/>
        <w:autoSpaceDN w:val="0"/>
        <w:adjustRightInd w:val="0"/>
        <w:spacing w:after="0" w:line="240" w:lineRule="auto"/>
        <w:jc w:val="both"/>
        <w:rPr>
          <w:rFonts w:ascii="Arial" w:hAnsi="Arial" w:cs="Arial"/>
          <w:color w:val="FFFFFF"/>
        </w:rPr>
      </w:pPr>
    </w:p>
    <w:p w14:paraId="7D40A850" w14:textId="77777777" w:rsidR="00E568A1" w:rsidRPr="009C2606" w:rsidRDefault="00E568A1" w:rsidP="00075867">
      <w:pPr>
        <w:autoSpaceDE w:val="0"/>
        <w:autoSpaceDN w:val="0"/>
        <w:adjustRightInd w:val="0"/>
        <w:spacing w:after="0" w:line="240" w:lineRule="auto"/>
        <w:rPr>
          <w:rFonts w:ascii="Arial" w:hAnsi="Arial" w:cs="Arial"/>
          <w:b/>
          <w:bCs/>
          <w:sz w:val="24"/>
          <w:szCs w:val="24"/>
          <w:lang w:val="uk-UA"/>
        </w:rPr>
        <w:sectPr w:rsidR="00E568A1" w:rsidRPr="009C2606" w:rsidSect="00A60AE1">
          <w:footerReference w:type="even" r:id="rId12"/>
          <w:footerReference w:type="default" r:id="rId13"/>
          <w:pgSz w:w="11906" w:h="16838"/>
          <w:pgMar w:top="1134" w:right="850" w:bottom="1134" w:left="1701" w:header="708" w:footer="708" w:gutter="0"/>
          <w:cols w:space="708"/>
          <w:titlePg/>
          <w:docGrid w:linePitch="360"/>
        </w:sectPr>
      </w:pPr>
    </w:p>
    <w:p w14:paraId="3485F3E2" w14:textId="77777777" w:rsidR="00E568A1" w:rsidRPr="007C46E5" w:rsidRDefault="00E568A1" w:rsidP="009B51D9">
      <w:pPr>
        <w:autoSpaceDE w:val="0"/>
        <w:autoSpaceDN w:val="0"/>
        <w:adjustRightInd w:val="0"/>
        <w:spacing w:after="0" w:line="240" w:lineRule="auto"/>
        <w:outlineLvl w:val="0"/>
        <w:rPr>
          <w:rFonts w:ascii="Arial" w:hAnsi="Arial" w:cs="Arial"/>
          <w:b/>
          <w:bCs/>
          <w:lang w:val="uk-UA"/>
        </w:rPr>
      </w:pPr>
      <w:r w:rsidRPr="007C46E5">
        <w:rPr>
          <w:rFonts w:ascii="Arial" w:hAnsi="Arial" w:cs="Arial"/>
          <w:b/>
          <w:bCs/>
          <w:lang w:val="uk-UA"/>
        </w:rPr>
        <w:lastRenderedPageBreak/>
        <w:t>Таблиця</w:t>
      </w:r>
      <w:r w:rsidRPr="00A81BDF">
        <w:rPr>
          <w:rFonts w:ascii="Arial" w:hAnsi="Arial" w:cs="Arial"/>
          <w:b/>
          <w:bCs/>
        </w:rPr>
        <w:t xml:space="preserve"> 7. </w:t>
      </w:r>
      <w:r w:rsidR="00354F1B">
        <w:rPr>
          <w:rFonts w:ascii="Arial" w:hAnsi="Arial" w:cs="Arial"/>
          <w:b/>
          <w:bCs/>
          <w:lang w:val="uk-UA"/>
        </w:rPr>
        <w:t>Зведені профілі даних</w:t>
      </w:r>
      <w:r w:rsidRPr="007C46E5">
        <w:rPr>
          <w:rFonts w:ascii="Arial" w:hAnsi="Arial" w:cs="Arial"/>
          <w:b/>
          <w:bCs/>
          <w:lang w:val="uk-UA"/>
        </w:rPr>
        <w:t xml:space="preserve"> </w:t>
      </w:r>
      <w:r w:rsidRPr="007C46E5">
        <w:rPr>
          <w:rFonts w:ascii="Arial" w:hAnsi="Arial" w:cs="Arial"/>
          <w:b/>
          <w:bCs/>
          <w:lang w:val="en-US"/>
        </w:rPr>
        <w:t>GRADE</w:t>
      </w:r>
    </w:p>
    <w:p w14:paraId="11E9F175" w14:textId="77777777" w:rsidR="00E568A1" w:rsidRPr="00C07462" w:rsidRDefault="00E568A1" w:rsidP="00075867">
      <w:pPr>
        <w:autoSpaceDE w:val="0"/>
        <w:autoSpaceDN w:val="0"/>
        <w:adjustRightInd w:val="0"/>
        <w:spacing w:after="0" w:line="240" w:lineRule="auto"/>
        <w:rPr>
          <w:rFonts w:ascii="Arial" w:hAnsi="Arial" w:cs="Arial"/>
          <w:b/>
          <w:bCs/>
          <w:sz w:val="16"/>
          <w:szCs w:val="16"/>
          <w:lang w:val="uk-UA"/>
        </w:rPr>
      </w:pPr>
    </w:p>
    <w:p w14:paraId="56E0CC80" w14:textId="7CD6C1BC" w:rsidR="00E568A1" w:rsidRPr="007C46E5" w:rsidRDefault="00E568A1" w:rsidP="009B51D9">
      <w:pPr>
        <w:autoSpaceDE w:val="0"/>
        <w:autoSpaceDN w:val="0"/>
        <w:adjustRightInd w:val="0"/>
        <w:spacing w:after="0" w:line="240" w:lineRule="auto"/>
        <w:outlineLvl w:val="0"/>
        <w:rPr>
          <w:rFonts w:ascii="Arial" w:hAnsi="Arial" w:cs="Arial"/>
          <w:bCs/>
          <w:sz w:val="16"/>
          <w:szCs w:val="16"/>
          <w:lang w:val="uk-UA"/>
        </w:rPr>
      </w:pPr>
      <w:r w:rsidRPr="007C46E5">
        <w:rPr>
          <w:rFonts w:ascii="Arial" w:hAnsi="Arial" w:cs="Arial"/>
          <w:b/>
          <w:bCs/>
          <w:sz w:val="16"/>
          <w:szCs w:val="16"/>
          <w:lang w:val="uk-UA"/>
        </w:rPr>
        <w:t>Автор</w:t>
      </w:r>
      <w:r w:rsidRPr="007C46E5">
        <w:rPr>
          <w:rFonts w:ascii="Arial" w:hAnsi="Arial" w:cs="Arial"/>
          <w:b/>
          <w:bCs/>
          <w:sz w:val="16"/>
          <w:szCs w:val="16"/>
        </w:rPr>
        <w:t xml:space="preserve">(и): </w:t>
      </w:r>
      <w:r w:rsidR="00D74126">
        <w:rPr>
          <w:rFonts w:ascii="Arial" w:hAnsi="Arial" w:cs="Arial"/>
          <w:bCs/>
          <w:sz w:val="16"/>
          <w:szCs w:val="16"/>
          <w:lang w:val="uk-UA"/>
        </w:rPr>
        <w:t>Експертна Група ВООЗ з</w:t>
      </w:r>
      <w:r w:rsidRPr="007C46E5">
        <w:rPr>
          <w:rFonts w:ascii="Arial" w:hAnsi="Arial" w:cs="Arial"/>
          <w:bCs/>
          <w:sz w:val="16"/>
          <w:szCs w:val="16"/>
          <w:lang w:val="uk-UA"/>
        </w:rPr>
        <w:t xml:space="preserve"> </w:t>
      </w:r>
      <w:r w:rsidR="00D74126">
        <w:rPr>
          <w:rFonts w:ascii="Arial" w:hAnsi="Arial" w:cs="Arial"/>
          <w:bCs/>
          <w:sz w:val="16"/>
          <w:szCs w:val="16"/>
          <w:lang w:val="uk-UA"/>
        </w:rPr>
        <w:t xml:space="preserve">застосування </w:t>
      </w:r>
      <w:r w:rsidRPr="007C46E5">
        <w:rPr>
          <w:rFonts w:ascii="Arial" w:hAnsi="Arial" w:cs="Arial"/>
          <w:bCs/>
          <w:sz w:val="16"/>
          <w:szCs w:val="16"/>
          <w:lang w:val="uk-UA"/>
        </w:rPr>
        <w:t>бедаквіліну</w:t>
      </w:r>
      <w:r w:rsidRPr="007C46E5">
        <w:rPr>
          <w:rFonts w:ascii="Arial" w:hAnsi="Arial" w:cs="Arial"/>
          <w:bCs/>
          <w:sz w:val="16"/>
          <w:szCs w:val="16"/>
        </w:rPr>
        <w:t xml:space="preserve"> </w:t>
      </w:r>
      <w:r w:rsidRPr="007C46E5">
        <w:rPr>
          <w:rFonts w:ascii="Arial" w:hAnsi="Arial" w:cs="Arial"/>
          <w:bCs/>
          <w:sz w:val="16"/>
          <w:szCs w:val="16"/>
          <w:lang w:val="uk-UA"/>
        </w:rPr>
        <w:t xml:space="preserve">для </w:t>
      </w:r>
      <w:r w:rsidR="00D74126">
        <w:rPr>
          <w:rFonts w:ascii="Arial" w:hAnsi="Arial" w:cs="Arial"/>
          <w:bCs/>
          <w:sz w:val="16"/>
          <w:szCs w:val="16"/>
          <w:lang w:val="uk-UA"/>
        </w:rPr>
        <w:t xml:space="preserve">лікування </w:t>
      </w:r>
      <w:r w:rsidR="009B51D9">
        <w:rPr>
          <w:rFonts w:ascii="Arial" w:hAnsi="Arial" w:cs="Arial"/>
          <w:bCs/>
          <w:sz w:val="16"/>
          <w:szCs w:val="16"/>
          <w:lang w:val="uk-UA"/>
        </w:rPr>
        <w:t>МР ТБ</w:t>
      </w:r>
    </w:p>
    <w:p w14:paraId="091230C8" w14:textId="77777777" w:rsidR="00E568A1" w:rsidRPr="00A81BDF" w:rsidRDefault="00E568A1" w:rsidP="00075867">
      <w:pPr>
        <w:autoSpaceDE w:val="0"/>
        <w:autoSpaceDN w:val="0"/>
        <w:adjustRightInd w:val="0"/>
        <w:spacing w:after="0" w:line="240" w:lineRule="auto"/>
        <w:rPr>
          <w:rFonts w:ascii="Arial" w:hAnsi="Arial" w:cs="Arial"/>
          <w:sz w:val="16"/>
          <w:szCs w:val="16"/>
        </w:rPr>
      </w:pPr>
      <w:r w:rsidRPr="007C46E5">
        <w:rPr>
          <w:rFonts w:ascii="Arial" w:hAnsi="Arial" w:cs="Arial"/>
          <w:b/>
          <w:bCs/>
          <w:sz w:val="16"/>
          <w:szCs w:val="16"/>
          <w:lang w:val="uk-UA"/>
        </w:rPr>
        <w:t>Дата</w:t>
      </w:r>
      <w:r w:rsidRPr="00A81BDF">
        <w:rPr>
          <w:rFonts w:ascii="Arial" w:hAnsi="Arial" w:cs="Arial"/>
          <w:b/>
          <w:bCs/>
          <w:sz w:val="16"/>
          <w:szCs w:val="16"/>
        </w:rPr>
        <w:t xml:space="preserve">: </w:t>
      </w:r>
      <w:r w:rsidRPr="007C46E5">
        <w:rPr>
          <w:rFonts w:ascii="Arial" w:hAnsi="Arial" w:cs="Arial"/>
          <w:bCs/>
          <w:sz w:val="16"/>
          <w:szCs w:val="16"/>
          <w:lang w:val="uk-UA"/>
        </w:rPr>
        <w:t>30</w:t>
      </w:r>
      <w:r w:rsidRPr="007C46E5">
        <w:rPr>
          <w:rFonts w:ascii="Arial" w:hAnsi="Arial" w:cs="Arial"/>
          <w:sz w:val="16"/>
          <w:szCs w:val="16"/>
          <w:lang w:val="uk-UA"/>
        </w:rPr>
        <w:t xml:space="preserve"> січня 2013 року</w:t>
      </w:r>
    </w:p>
    <w:p w14:paraId="19E619D0" w14:textId="74835B49" w:rsidR="00E568A1" w:rsidRPr="007C46E5" w:rsidRDefault="00E568A1" w:rsidP="00075867">
      <w:pPr>
        <w:autoSpaceDE w:val="0"/>
        <w:autoSpaceDN w:val="0"/>
        <w:adjustRightInd w:val="0"/>
        <w:spacing w:after="0" w:line="240" w:lineRule="auto"/>
        <w:rPr>
          <w:rFonts w:ascii="Arial" w:hAnsi="Arial" w:cs="Arial"/>
          <w:sz w:val="16"/>
          <w:szCs w:val="16"/>
          <w:lang w:val="uk-UA"/>
        </w:rPr>
      </w:pPr>
      <w:r w:rsidRPr="007C46E5">
        <w:rPr>
          <w:rFonts w:ascii="Arial" w:hAnsi="Arial" w:cs="Arial"/>
          <w:b/>
          <w:bCs/>
          <w:sz w:val="16"/>
          <w:szCs w:val="16"/>
          <w:lang w:val="uk-UA"/>
        </w:rPr>
        <w:t>Питання</w:t>
      </w:r>
      <w:r w:rsidRPr="007C46E5">
        <w:rPr>
          <w:rFonts w:ascii="Arial" w:hAnsi="Arial" w:cs="Arial"/>
          <w:b/>
          <w:bCs/>
          <w:sz w:val="16"/>
          <w:szCs w:val="16"/>
        </w:rPr>
        <w:t xml:space="preserve">: </w:t>
      </w:r>
      <w:r w:rsidR="00D74126">
        <w:rPr>
          <w:rFonts w:ascii="Arial" w:hAnsi="Arial" w:cs="Arial"/>
          <w:sz w:val="16"/>
          <w:szCs w:val="16"/>
          <w:lang w:val="uk-UA"/>
        </w:rPr>
        <w:t>Ч</w:t>
      </w:r>
      <w:r w:rsidRPr="007C46E5">
        <w:rPr>
          <w:rFonts w:ascii="Arial" w:hAnsi="Arial" w:cs="Arial"/>
          <w:sz w:val="16"/>
          <w:szCs w:val="16"/>
          <w:lang w:val="uk-UA"/>
        </w:rPr>
        <w:t>и додавання бедаквіл</w:t>
      </w:r>
      <w:r w:rsidR="00D74126">
        <w:rPr>
          <w:rFonts w:ascii="Arial" w:hAnsi="Arial" w:cs="Arial"/>
          <w:sz w:val="16"/>
          <w:szCs w:val="16"/>
          <w:lang w:val="uk-UA"/>
        </w:rPr>
        <w:t>іну до рекомендованих ВООЗ фонових режимів</w:t>
      </w:r>
      <w:r w:rsidRPr="007C46E5">
        <w:rPr>
          <w:rFonts w:ascii="Arial" w:hAnsi="Arial" w:cs="Arial"/>
          <w:sz w:val="16"/>
          <w:szCs w:val="16"/>
          <w:lang w:val="uk-UA"/>
        </w:rPr>
        <w:t xml:space="preserve"> </w:t>
      </w:r>
      <w:r w:rsidR="00D74126">
        <w:rPr>
          <w:rFonts w:ascii="Arial" w:hAnsi="Arial" w:cs="Arial"/>
          <w:sz w:val="16"/>
          <w:szCs w:val="16"/>
          <w:lang w:val="uk-UA"/>
        </w:rPr>
        <w:t>безпечно поліпшує</w:t>
      </w:r>
      <w:r w:rsidRPr="007C46E5">
        <w:rPr>
          <w:rFonts w:ascii="Arial" w:hAnsi="Arial" w:cs="Arial"/>
          <w:sz w:val="16"/>
          <w:szCs w:val="16"/>
          <w:lang w:val="uk-UA"/>
        </w:rPr>
        <w:t xml:space="preserve"> результати лікування пацієнтів</w:t>
      </w:r>
      <w:r w:rsidR="00D74126">
        <w:rPr>
          <w:rFonts w:ascii="Arial" w:hAnsi="Arial" w:cs="Arial"/>
          <w:sz w:val="16"/>
          <w:szCs w:val="16"/>
          <w:lang w:val="uk-UA"/>
        </w:rPr>
        <w:t xml:space="preserve"> з МР ТБ</w:t>
      </w:r>
      <w:r w:rsidRPr="007C46E5">
        <w:rPr>
          <w:rFonts w:ascii="Arial" w:hAnsi="Arial" w:cs="Arial"/>
          <w:sz w:val="16"/>
          <w:szCs w:val="16"/>
          <w:lang w:val="uk-UA"/>
        </w:rPr>
        <w:t>?</w:t>
      </w:r>
    </w:p>
    <w:p w14:paraId="2B78FA09" w14:textId="432DE499" w:rsidR="00E568A1" w:rsidRPr="007C46E5" w:rsidRDefault="00E568A1" w:rsidP="00075867">
      <w:pPr>
        <w:autoSpaceDE w:val="0"/>
        <w:autoSpaceDN w:val="0"/>
        <w:adjustRightInd w:val="0"/>
        <w:spacing w:after="0" w:line="240" w:lineRule="auto"/>
        <w:rPr>
          <w:rFonts w:ascii="Arial" w:hAnsi="Arial" w:cs="Arial"/>
          <w:sz w:val="16"/>
          <w:szCs w:val="16"/>
        </w:rPr>
      </w:pPr>
      <w:r w:rsidRPr="007C46E5">
        <w:rPr>
          <w:rFonts w:ascii="Arial" w:hAnsi="Arial" w:cs="Arial"/>
          <w:b/>
          <w:bCs/>
          <w:sz w:val="16"/>
          <w:szCs w:val="16"/>
          <w:lang w:val="uk-UA"/>
        </w:rPr>
        <w:t xml:space="preserve">Бібліографія: </w:t>
      </w:r>
      <w:r w:rsidRPr="007C46E5">
        <w:rPr>
          <w:rFonts w:ascii="Arial" w:hAnsi="Arial" w:cs="Arial"/>
          <w:sz w:val="16"/>
          <w:szCs w:val="16"/>
          <w:lang w:val="uk-UA"/>
        </w:rPr>
        <w:t xml:space="preserve">1. Фармацевтичні компанії Янсена, 2012. Лікування </w:t>
      </w:r>
      <w:r w:rsidRPr="007C46E5">
        <w:rPr>
          <w:rFonts w:ascii="Arial" w:hAnsi="Arial" w:cs="Arial"/>
          <w:sz w:val="16"/>
          <w:szCs w:val="16"/>
          <w:lang w:val="en-US"/>
        </w:rPr>
        <w:t>TMC</w:t>
      </w:r>
      <w:r w:rsidRPr="007C46E5">
        <w:rPr>
          <w:rFonts w:ascii="Arial" w:hAnsi="Arial" w:cs="Arial"/>
          <w:sz w:val="16"/>
          <w:szCs w:val="16"/>
          <w:lang w:val="uk-UA"/>
        </w:rPr>
        <w:t xml:space="preserve">207 (бедаквіліном) пацієнтів з </w:t>
      </w:r>
      <w:r w:rsidR="009B51D9">
        <w:rPr>
          <w:rFonts w:ascii="Arial" w:hAnsi="Arial" w:cs="Arial"/>
          <w:sz w:val="16"/>
          <w:szCs w:val="16"/>
          <w:lang w:val="uk-UA"/>
        </w:rPr>
        <w:t>МР ТБ</w:t>
      </w:r>
      <w:r w:rsidRPr="007C46E5">
        <w:rPr>
          <w:rFonts w:ascii="Arial" w:hAnsi="Arial" w:cs="Arial"/>
          <w:sz w:val="16"/>
          <w:szCs w:val="16"/>
          <w:lang w:val="uk-UA"/>
        </w:rPr>
        <w:t xml:space="preserve"> (</w:t>
      </w:r>
      <w:r w:rsidRPr="007C46E5">
        <w:rPr>
          <w:rFonts w:ascii="Arial" w:hAnsi="Arial" w:cs="Arial"/>
          <w:sz w:val="16"/>
          <w:szCs w:val="16"/>
          <w:lang w:val="en-US"/>
        </w:rPr>
        <w:t>NdA</w:t>
      </w:r>
      <w:r w:rsidR="00D74126">
        <w:rPr>
          <w:rFonts w:ascii="Arial" w:hAnsi="Arial" w:cs="Arial"/>
          <w:sz w:val="16"/>
          <w:szCs w:val="16"/>
          <w:lang w:val="uk-UA"/>
        </w:rPr>
        <w:t xml:space="preserve"> 204-384). </w:t>
      </w:r>
      <w:r w:rsidR="00527611" w:rsidRPr="00527611">
        <w:rPr>
          <w:rFonts w:ascii="Arial" w:hAnsi="Arial" w:cs="Arial"/>
          <w:color w:val="000000"/>
          <w:sz w:val="16"/>
          <w:szCs w:val="16"/>
          <w:lang w:val="uk-UA"/>
        </w:rPr>
        <w:t xml:space="preserve">Інформаційний документ </w:t>
      </w:r>
      <w:r w:rsidRPr="00527611">
        <w:rPr>
          <w:rFonts w:ascii="Arial" w:hAnsi="Arial" w:cs="Arial"/>
          <w:sz w:val="16"/>
          <w:szCs w:val="16"/>
          <w:lang w:val="uk-UA"/>
        </w:rPr>
        <w:t>для засідання</w:t>
      </w:r>
      <w:r w:rsidRPr="007C46E5">
        <w:rPr>
          <w:rFonts w:ascii="Arial" w:hAnsi="Arial" w:cs="Arial"/>
          <w:sz w:val="16"/>
          <w:szCs w:val="16"/>
          <w:lang w:val="uk-UA"/>
        </w:rPr>
        <w:t xml:space="preserve"> Консультативного комітету з протидії інфекційним захворюванням, 28 листопада 2012 р. (Документ доступний для публічного </w:t>
      </w:r>
      <w:r w:rsidR="007D3500">
        <w:rPr>
          <w:rFonts w:ascii="Arial" w:hAnsi="Arial" w:cs="Arial"/>
          <w:sz w:val="16"/>
          <w:szCs w:val="16"/>
          <w:lang w:val="uk-UA"/>
        </w:rPr>
        <w:t>застосування</w:t>
      </w:r>
      <w:r w:rsidRPr="007C46E5">
        <w:rPr>
          <w:rFonts w:ascii="Arial" w:hAnsi="Arial" w:cs="Arial"/>
          <w:sz w:val="16"/>
          <w:szCs w:val="16"/>
          <w:lang w:val="uk-UA"/>
        </w:rPr>
        <w:t xml:space="preserve"> без редагування). </w:t>
      </w:r>
      <w:r w:rsidRPr="007C46E5">
        <w:rPr>
          <w:rFonts w:ascii="Arial" w:hAnsi="Arial" w:cs="Arial"/>
          <w:sz w:val="16"/>
          <w:szCs w:val="16"/>
        </w:rPr>
        <w:t>2. Нарада Консультативного Комітету з  прот</w:t>
      </w:r>
      <w:r w:rsidR="00D74126">
        <w:rPr>
          <w:rFonts w:ascii="Arial" w:hAnsi="Arial" w:cs="Arial"/>
          <w:sz w:val="16"/>
          <w:szCs w:val="16"/>
        </w:rPr>
        <w:t>иінфекційних препаратів (</w:t>
      </w:r>
      <w:r w:rsidR="00D74126">
        <w:rPr>
          <w:rFonts w:ascii="Arial" w:hAnsi="Arial" w:cs="Arial"/>
          <w:sz w:val="16"/>
          <w:szCs w:val="16"/>
          <w:lang w:val="en-US"/>
        </w:rPr>
        <w:t>US-FDA/AIDAC</w:t>
      </w:r>
      <w:r w:rsidRPr="007C46E5">
        <w:rPr>
          <w:rFonts w:ascii="Arial" w:hAnsi="Arial" w:cs="Arial"/>
          <w:sz w:val="16"/>
          <w:szCs w:val="16"/>
        </w:rPr>
        <w:t xml:space="preserve">) 28 листопада 2012. Презентації слайдів від </w:t>
      </w:r>
      <w:r w:rsidRPr="007C46E5">
        <w:rPr>
          <w:rFonts w:ascii="Arial" w:hAnsi="Arial" w:cs="Arial"/>
          <w:sz w:val="16"/>
          <w:szCs w:val="16"/>
          <w:lang w:val="en-US"/>
        </w:rPr>
        <w:t>Janssen</w:t>
      </w:r>
      <w:r w:rsidRPr="007C46E5">
        <w:rPr>
          <w:rFonts w:ascii="Arial" w:hAnsi="Arial" w:cs="Arial"/>
          <w:sz w:val="16"/>
          <w:szCs w:val="16"/>
        </w:rPr>
        <w:t xml:space="preserve"> </w:t>
      </w:r>
      <w:r w:rsidRPr="007C46E5">
        <w:rPr>
          <w:rFonts w:ascii="Arial" w:hAnsi="Arial" w:cs="Arial"/>
          <w:sz w:val="16"/>
          <w:szCs w:val="16"/>
          <w:lang w:val="en-US"/>
        </w:rPr>
        <w:t>R</w:t>
      </w:r>
      <w:r w:rsidRPr="007C46E5">
        <w:rPr>
          <w:rFonts w:ascii="Arial" w:hAnsi="Arial" w:cs="Arial"/>
          <w:sz w:val="16"/>
          <w:szCs w:val="16"/>
        </w:rPr>
        <w:t xml:space="preserve"> &amp; </w:t>
      </w:r>
      <w:r w:rsidRPr="007C46E5">
        <w:rPr>
          <w:rFonts w:ascii="Arial" w:hAnsi="Arial" w:cs="Arial"/>
          <w:sz w:val="16"/>
          <w:szCs w:val="16"/>
          <w:lang w:val="en-US"/>
        </w:rPr>
        <w:t>D</w:t>
      </w:r>
      <w:r w:rsidRPr="007C46E5">
        <w:rPr>
          <w:rFonts w:ascii="Arial" w:hAnsi="Arial" w:cs="Arial"/>
          <w:sz w:val="16"/>
          <w:szCs w:val="16"/>
        </w:rPr>
        <w:t xml:space="preserve">; Презентації слайдів </w:t>
      </w:r>
      <w:r w:rsidR="00D74126">
        <w:rPr>
          <w:rFonts w:ascii="Arial" w:hAnsi="Arial" w:cs="Arial"/>
          <w:sz w:val="16"/>
          <w:szCs w:val="16"/>
          <w:lang w:val="en-US"/>
        </w:rPr>
        <w:t>US-FDA</w:t>
      </w:r>
      <w:r w:rsidRPr="007C46E5">
        <w:rPr>
          <w:rFonts w:ascii="Arial" w:hAnsi="Arial" w:cs="Arial"/>
          <w:sz w:val="16"/>
          <w:szCs w:val="16"/>
        </w:rPr>
        <w:t>. (</w:t>
      </w:r>
      <w:hyperlink r:id="rId14" w:history="1">
        <w:r w:rsidRPr="007C46E5">
          <w:rPr>
            <w:rStyle w:val="a3"/>
            <w:rFonts w:ascii="Arial" w:hAnsi="Arial" w:cs="Arial"/>
            <w:sz w:val="16"/>
            <w:szCs w:val="16"/>
            <w:lang w:val="en-US"/>
          </w:rPr>
          <w:t>http</w:t>
        </w:r>
        <w:r w:rsidRPr="007C46E5">
          <w:rPr>
            <w:rStyle w:val="a3"/>
            <w:rFonts w:ascii="Arial" w:hAnsi="Arial" w:cs="Arial"/>
            <w:sz w:val="16"/>
            <w:szCs w:val="16"/>
          </w:rPr>
          <w:t>://</w:t>
        </w:r>
        <w:r w:rsidRPr="007C46E5">
          <w:rPr>
            <w:rStyle w:val="a3"/>
            <w:rFonts w:ascii="Arial" w:hAnsi="Arial" w:cs="Arial"/>
            <w:sz w:val="16"/>
            <w:szCs w:val="16"/>
            <w:lang w:val="en-US"/>
          </w:rPr>
          <w:t>www</w:t>
        </w:r>
        <w:r w:rsidRPr="007C46E5">
          <w:rPr>
            <w:rStyle w:val="a3"/>
            <w:rFonts w:ascii="Arial" w:hAnsi="Arial" w:cs="Arial"/>
            <w:sz w:val="16"/>
            <w:szCs w:val="16"/>
          </w:rPr>
          <w:t>.</w:t>
        </w:r>
        <w:r w:rsidRPr="007C46E5">
          <w:rPr>
            <w:rStyle w:val="a3"/>
            <w:rFonts w:ascii="Arial" w:hAnsi="Arial" w:cs="Arial"/>
            <w:sz w:val="16"/>
            <w:szCs w:val="16"/>
            <w:lang w:val="en-US"/>
          </w:rPr>
          <w:t>fda</w:t>
        </w:r>
        <w:r w:rsidRPr="007C46E5">
          <w:rPr>
            <w:rStyle w:val="a3"/>
            <w:rFonts w:ascii="Arial" w:hAnsi="Arial" w:cs="Arial"/>
            <w:sz w:val="16"/>
            <w:szCs w:val="16"/>
          </w:rPr>
          <w:t>.</w:t>
        </w:r>
        <w:r w:rsidRPr="007C46E5">
          <w:rPr>
            <w:rStyle w:val="a3"/>
            <w:rFonts w:ascii="Arial" w:hAnsi="Arial" w:cs="Arial"/>
            <w:sz w:val="16"/>
            <w:szCs w:val="16"/>
            <w:lang w:val="en-US"/>
          </w:rPr>
          <w:t>gov</w:t>
        </w:r>
        <w:r w:rsidRPr="007C46E5">
          <w:rPr>
            <w:rStyle w:val="a3"/>
            <w:rFonts w:ascii="Arial" w:hAnsi="Arial" w:cs="Arial"/>
            <w:sz w:val="16"/>
            <w:szCs w:val="16"/>
          </w:rPr>
          <w:t>/</w:t>
        </w:r>
        <w:r w:rsidRPr="007C46E5">
          <w:rPr>
            <w:rStyle w:val="a3"/>
            <w:rFonts w:ascii="Arial" w:hAnsi="Arial" w:cs="Arial"/>
            <w:sz w:val="16"/>
            <w:szCs w:val="16"/>
            <w:lang w:val="en-US"/>
          </w:rPr>
          <w:t>AdvisoryCommittees</w:t>
        </w:r>
        <w:r w:rsidRPr="007C46E5">
          <w:rPr>
            <w:rStyle w:val="a3"/>
            <w:rFonts w:ascii="Arial" w:hAnsi="Arial" w:cs="Arial"/>
            <w:sz w:val="16"/>
            <w:szCs w:val="16"/>
          </w:rPr>
          <w:t>/</w:t>
        </w:r>
        <w:r w:rsidRPr="007C46E5">
          <w:rPr>
            <w:rStyle w:val="a3"/>
            <w:rFonts w:ascii="Arial" w:hAnsi="Arial" w:cs="Arial"/>
            <w:sz w:val="16"/>
            <w:szCs w:val="16"/>
            <w:lang w:val="en-US"/>
          </w:rPr>
          <w:t>CommitteesMeetingMaterials</w:t>
        </w:r>
        <w:r w:rsidRPr="007C46E5">
          <w:rPr>
            <w:rStyle w:val="a3"/>
            <w:rFonts w:ascii="Arial" w:hAnsi="Arial" w:cs="Arial"/>
            <w:sz w:val="16"/>
            <w:szCs w:val="16"/>
          </w:rPr>
          <w:t>/</w:t>
        </w:r>
        <w:r w:rsidRPr="007C46E5">
          <w:rPr>
            <w:rStyle w:val="a3"/>
            <w:rFonts w:ascii="Arial" w:hAnsi="Arial" w:cs="Arial"/>
            <w:sz w:val="16"/>
            <w:szCs w:val="16"/>
            <w:lang w:val="en-US"/>
          </w:rPr>
          <w:t>Drugs</w:t>
        </w:r>
        <w:r w:rsidRPr="007C46E5">
          <w:rPr>
            <w:rStyle w:val="a3"/>
            <w:rFonts w:ascii="Arial" w:hAnsi="Arial" w:cs="Arial"/>
            <w:sz w:val="16"/>
            <w:szCs w:val="16"/>
          </w:rPr>
          <w:t>/</w:t>
        </w:r>
        <w:r w:rsidRPr="007C46E5">
          <w:rPr>
            <w:rStyle w:val="a3"/>
            <w:rFonts w:ascii="Arial" w:hAnsi="Arial" w:cs="Arial"/>
            <w:sz w:val="16"/>
            <w:szCs w:val="16"/>
            <w:lang w:val="en-US"/>
          </w:rPr>
          <w:t>AntiInfectiveDrugsAdvisoryCommittee</w:t>
        </w:r>
        <w:r w:rsidRPr="007C46E5">
          <w:rPr>
            <w:rStyle w:val="a3"/>
            <w:rFonts w:ascii="Arial" w:hAnsi="Arial" w:cs="Arial"/>
            <w:sz w:val="16"/>
            <w:szCs w:val="16"/>
          </w:rPr>
          <w:t>/</w:t>
        </w:r>
        <w:r w:rsidRPr="007C46E5">
          <w:rPr>
            <w:rStyle w:val="a3"/>
            <w:rFonts w:ascii="Arial" w:hAnsi="Arial" w:cs="Arial"/>
            <w:sz w:val="16"/>
            <w:szCs w:val="16"/>
            <w:lang w:val="en-US"/>
          </w:rPr>
          <w:t>ucm</w:t>
        </w:r>
        <w:r w:rsidRPr="007C46E5">
          <w:rPr>
            <w:rStyle w:val="a3"/>
            <w:rFonts w:ascii="Arial" w:hAnsi="Arial" w:cs="Arial"/>
            <w:sz w:val="16"/>
            <w:szCs w:val="16"/>
          </w:rPr>
          <w:t>293600.</w:t>
        </w:r>
        <w:r w:rsidRPr="007C46E5">
          <w:rPr>
            <w:rStyle w:val="a3"/>
            <w:rFonts w:ascii="Arial" w:hAnsi="Arial" w:cs="Arial"/>
            <w:sz w:val="16"/>
            <w:szCs w:val="16"/>
            <w:lang w:val="en-US"/>
          </w:rPr>
          <w:t>htm</w:t>
        </w:r>
      </w:hyperlink>
      <w:r w:rsidRPr="007C46E5">
        <w:rPr>
          <w:rFonts w:ascii="Arial" w:hAnsi="Arial" w:cs="Arial"/>
          <w:sz w:val="16"/>
          <w:szCs w:val="16"/>
        </w:rPr>
        <w:t>).</w:t>
      </w:r>
    </w:p>
    <w:p w14:paraId="5B1CEAF5" w14:textId="4C45505F" w:rsidR="00E568A1" w:rsidRPr="007C46E5" w:rsidRDefault="00E568A1" w:rsidP="009B51D9">
      <w:pPr>
        <w:autoSpaceDE w:val="0"/>
        <w:autoSpaceDN w:val="0"/>
        <w:adjustRightInd w:val="0"/>
        <w:spacing w:after="0" w:line="240" w:lineRule="auto"/>
        <w:outlineLvl w:val="0"/>
        <w:rPr>
          <w:rFonts w:ascii="Arial" w:hAnsi="Arial" w:cs="Arial"/>
          <w:b/>
          <w:bCs/>
          <w:sz w:val="16"/>
          <w:szCs w:val="16"/>
        </w:rPr>
      </w:pPr>
      <w:r w:rsidRPr="007C46E5">
        <w:rPr>
          <w:rFonts w:ascii="Arial" w:hAnsi="Arial" w:cs="Arial"/>
          <w:b/>
          <w:bCs/>
          <w:sz w:val="16"/>
          <w:szCs w:val="16"/>
        </w:rPr>
        <w:t>Виз</w:t>
      </w:r>
      <w:r w:rsidR="00F238E3">
        <w:rPr>
          <w:rFonts w:ascii="Arial" w:hAnsi="Arial" w:cs="Arial"/>
          <w:b/>
          <w:bCs/>
          <w:sz w:val="16"/>
          <w:szCs w:val="16"/>
        </w:rPr>
        <w:t xml:space="preserve">начення </w:t>
      </w:r>
      <w:r w:rsidR="00F238E3">
        <w:rPr>
          <w:rFonts w:ascii="Arial" w:hAnsi="Arial" w:cs="Arial"/>
          <w:b/>
          <w:bCs/>
          <w:sz w:val="16"/>
          <w:szCs w:val="16"/>
          <w:lang w:val="uk-UA"/>
        </w:rPr>
        <w:t>популяції дослідження</w:t>
      </w:r>
      <w:r w:rsidRPr="007C46E5">
        <w:rPr>
          <w:rFonts w:ascii="Arial" w:hAnsi="Arial" w:cs="Arial"/>
          <w:b/>
          <w:bCs/>
          <w:sz w:val="16"/>
          <w:szCs w:val="16"/>
        </w:rPr>
        <w:t>:</w:t>
      </w:r>
    </w:p>
    <w:p w14:paraId="7F6EA1FA" w14:textId="0801F7E4" w:rsidR="00E568A1" w:rsidRPr="007C46E5" w:rsidRDefault="00E568A1" w:rsidP="005B131E">
      <w:pPr>
        <w:autoSpaceDE w:val="0"/>
        <w:autoSpaceDN w:val="0"/>
        <w:adjustRightInd w:val="0"/>
        <w:spacing w:after="0" w:line="240" w:lineRule="auto"/>
        <w:jc w:val="both"/>
        <w:rPr>
          <w:rFonts w:ascii="Arial" w:hAnsi="Arial" w:cs="Arial"/>
          <w:sz w:val="16"/>
          <w:szCs w:val="16"/>
        </w:rPr>
      </w:pPr>
      <w:r w:rsidRPr="00F238E3">
        <w:rPr>
          <w:rFonts w:ascii="Arial" w:hAnsi="Arial" w:cs="Arial"/>
          <w:sz w:val="16"/>
          <w:szCs w:val="16"/>
        </w:rPr>
        <w:t xml:space="preserve">ІТТ = </w:t>
      </w:r>
      <w:r w:rsidR="00F238E3" w:rsidRPr="00F238E3">
        <w:rPr>
          <w:rFonts w:ascii="Arial" w:hAnsi="Arial" w:cs="Arial"/>
          <w:sz w:val="16"/>
          <w:szCs w:val="16"/>
        </w:rPr>
        <w:t>у</w:t>
      </w:r>
      <w:r w:rsidRPr="00F238E3">
        <w:rPr>
          <w:rFonts w:ascii="Arial" w:hAnsi="Arial" w:cs="Arial"/>
          <w:sz w:val="16"/>
          <w:szCs w:val="16"/>
        </w:rPr>
        <w:t>сі</w:t>
      </w:r>
      <w:r w:rsidRPr="007C46E5">
        <w:rPr>
          <w:rFonts w:ascii="Arial" w:hAnsi="Arial" w:cs="Arial"/>
          <w:sz w:val="16"/>
          <w:szCs w:val="16"/>
        </w:rPr>
        <w:t xml:space="preserve"> рандомізовані суб'єкти, які отримали принаймні одну дозу лікування); звичайно використовується для оцінки параметрів безпеки </w:t>
      </w:r>
      <w:r w:rsidR="00F238E3">
        <w:rPr>
          <w:rFonts w:ascii="Arial" w:hAnsi="Arial" w:cs="Arial"/>
          <w:sz w:val="16"/>
          <w:szCs w:val="16"/>
        </w:rPr>
        <w:t>у клінічних</w:t>
      </w:r>
      <w:r w:rsidRPr="007C46E5">
        <w:rPr>
          <w:rFonts w:ascii="Arial" w:hAnsi="Arial" w:cs="Arial"/>
          <w:sz w:val="16"/>
          <w:szCs w:val="16"/>
        </w:rPr>
        <w:t xml:space="preserve"> випробуваннях лікарських препаратів;</w:t>
      </w:r>
    </w:p>
    <w:p w14:paraId="5248E004" w14:textId="74AE85E1" w:rsidR="00E568A1" w:rsidRPr="00A81BDF" w:rsidRDefault="00E568A1" w:rsidP="005B131E">
      <w:pPr>
        <w:autoSpaceDE w:val="0"/>
        <w:autoSpaceDN w:val="0"/>
        <w:adjustRightInd w:val="0"/>
        <w:spacing w:after="0" w:line="240" w:lineRule="auto"/>
        <w:jc w:val="both"/>
        <w:rPr>
          <w:rFonts w:ascii="Arial" w:hAnsi="Arial" w:cs="Arial"/>
          <w:color w:val="FFFFFF"/>
          <w:sz w:val="16"/>
          <w:szCs w:val="16"/>
        </w:rPr>
      </w:pPr>
      <w:r w:rsidRPr="007C46E5">
        <w:rPr>
          <w:rFonts w:ascii="Arial" w:hAnsi="Arial" w:cs="Arial"/>
          <w:sz w:val="16"/>
          <w:szCs w:val="16"/>
          <w:lang w:val="en-US"/>
        </w:rPr>
        <w:t>mITT</w:t>
      </w:r>
      <w:r w:rsidR="00203408">
        <w:rPr>
          <w:rFonts w:ascii="Arial" w:hAnsi="Arial" w:cs="Arial"/>
          <w:sz w:val="16"/>
          <w:szCs w:val="16"/>
        </w:rPr>
        <w:t xml:space="preserve"> </w:t>
      </w:r>
      <w:r w:rsidR="00203408" w:rsidRPr="00F238E3">
        <w:rPr>
          <w:rFonts w:ascii="Arial" w:hAnsi="Arial" w:cs="Arial"/>
          <w:sz w:val="16"/>
          <w:szCs w:val="16"/>
        </w:rPr>
        <w:t xml:space="preserve">= модифікована </w:t>
      </w:r>
      <w:r w:rsidR="00203408" w:rsidRPr="00F238E3">
        <w:rPr>
          <w:rFonts w:ascii="Arial" w:hAnsi="Arial" w:cs="Arial"/>
          <w:sz w:val="16"/>
          <w:szCs w:val="16"/>
          <w:lang w:val="uk-UA"/>
        </w:rPr>
        <w:t>ІТТ популяція</w:t>
      </w:r>
      <w:r w:rsidR="00F238E3">
        <w:rPr>
          <w:rFonts w:ascii="Arial" w:hAnsi="Arial" w:cs="Arial"/>
          <w:sz w:val="16"/>
          <w:szCs w:val="16"/>
        </w:rPr>
        <w:t xml:space="preserve"> (всі суб'єкти з якими втрачено зв</w:t>
      </w:r>
      <w:r w:rsidR="00F238E3">
        <w:rPr>
          <w:rFonts w:ascii="Arial" w:hAnsi="Arial" w:cs="Arial"/>
          <w:sz w:val="16"/>
          <w:szCs w:val="16"/>
          <w:lang w:val="en-US"/>
        </w:rPr>
        <w:t>’</w:t>
      </w:r>
      <w:r w:rsidR="00F238E3">
        <w:rPr>
          <w:rFonts w:ascii="Arial" w:hAnsi="Arial" w:cs="Arial"/>
          <w:sz w:val="16"/>
          <w:szCs w:val="16"/>
        </w:rPr>
        <w:t xml:space="preserve">язок </w:t>
      </w:r>
      <w:r w:rsidR="00DC52EF">
        <w:rPr>
          <w:rFonts w:ascii="Arial" w:hAnsi="Arial" w:cs="Arial"/>
          <w:sz w:val="16"/>
          <w:szCs w:val="16"/>
        </w:rPr>
        <w:t xml:space="preserve">або </w:t>
      </w:r>
      <w:r w:rsidRPr="00A81BDF">
        <w:rPr>
          <w:rFonts w:ascii="Arial" w:hAnsi="Arial" w:cs="Arial"/>
          <w:sz w:val="16"/>
          <w:szCs w:val="16"/>
        </w:rPr>
        <w:t>ті, що принили лікування</w:t>
      </w:r>
      <w:r w:rsidR="00203408">
        <w:rPr>
          <w:rFonts w:ascii="Arial" w:hAnsi="Arial" w:cs="Arial"/>
          <w:sz w:val="16"/>
          <w:szCs w:val="16"/>
          <w:lang w:val="uk-UA"/>
        </w:rPr>
        <w:t>,</w:t>
      </w:r>
      <w:r w:rsidR="00F238E3">
        <w:rPr>
          <w:rFonts w:ascii="Arial" w:hAnsi="Arial" w:cs="Arial"/>
          <w:sz w:val="16"/>
          <w:szCs w:val="16"/>
        </w:rPr>
        <w:t xml:space="preserve"> вважаються </w:t>
      </w:r>
      <w:r w:rsidR="00F238E3">
        <w:rPr>
          <w:rFonts w:ascii="Arial" w:hAnsi="Arial" w:cs="Arial"/>
          <w:sz w:val="16"/>
          <w:szCs w:val="16"/>
          <w:lang w:val="en-US"/>
        </w:rPr>
        <w:t>“</w:t>
      </w:r>
      <w:r w:rsidR="00F238E3">
        <w:rPr>
          <w:rFonts w:ascii="Arial" w:hAnsi="Arial" w:cs="Arial"/>
          <w:sz w:val="16"/>
          <w:szCs w:val="16"/>
        </w:rPr>
        <w:t>невдале лікування</w:t>
      </w:r>
      <w:r w:rsidR="00F238E3">
        <w:rPr>
          <w:rFonts w:ascii="Arial" w:hAnsi="Arial" w:cs="Arial"/>
          <w:sz w:val="16"/>
          <w:szCs w:val="16"/>
          <w:lang w:val="uk-UA"/>
        </w:rPr>
        <w:t>”</w:t>
      </w:r>
      <w:r w:rsidRPr="00A81BDF">
        <w:rPr>
          <w:rFonts w:ascii="Arial" w:hAnsi="Arial" w:cs="Arial"/>
          <w:sz w:val="16"/>
          <w:szCs w:val="16"/>
        </w:rPr>
        <w:t>); зазвичай використовується для оці</w:t>
      </w:r>
      <w:r w:rsidR="00F238E3">
        <w:rPr>
          <w:rFonts w:ascii="Arial" w:hAnsi="Arial" w:cs="Arial"/>
          <w:sz w:val="16"/>
          <w:szCs w:val="16"/>
        </w:rPr>
        <w:t>нки параметрів ефективності у клінічних вип</w:t>
      </w:r>
      <w:r w:rsidRPr="00A81BDF">
        <w:rPr>
          <w:rFonts w:ascii="Arial" w:hAnsi="Arial" w:cs="Arial"/>
          <w:sz w:val="16"/>
          <w:szCs w:val="16"/>
        </w:rPr>
        <w:t>робуваннях лікарських препаратів.</w:t>
      </w:r>
    </w:p>
    <w:p w14:paraId="50C6DE61" w14:textId="77777777" w:rsidR="00E568A1" w:rsidRPr="00A81BDF" w:rsidRDefault="00E568A1" w:rsidP="0037724F">
      <w:pPr>
        <w:autoSpaceDE w:val="0"/>
        <w:autoSpaceDN w:val="0"/>
        <w:adjustRightInd w:val="0"/>
        <w:spacing w:after="0" w:line="240" w:lineRule="auto"/>
        <w:jc w:val="both"/>
        <w:rPr>
          <w:rFonts w:ascii="Arial" w:hAnsi="Arial" w:cs="Arial"/>
          <w:color w:val="FFFFFF"/>
          <w:sz w:val="12"/>
          <w:szCs w:val="1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1068"/>
        <w:gridCol w:w="1069"/>
        <w:gridCol w:w="1068"/>
        <w:gridCol w:w="1069"/>
        <w:gridCol w:w="1068"/>
        <w:gridCol w:w="1069"/>
        <w:gridCol w:w="1205"/>
        <w:gridCol w:w="1205"/>
        <w:gridCol w:w="1205"/>
        <w:gridCol w:w="1205"/>
        <w:gridCol w:w="1134"/>
        <w:gridCol w:w="1701"/>
      </w:tblGrid>
      <w:tr w:rsidR="00E568A1" w:rsidRPr="0014339A" w14:paraId="53D17578" w14:textId="77777777" w:rsidTr="007B3322">
        <w:trPr>
          <w:trHeight w:val="328"/>
        </w:trPr>
        <w:tc>
          <w:tcPr>
            <w:tcW w:w="7479" w:type="dxa"/>
            <w:gridSpan w:val="7"/>
            <w:shd w:val="clear" w:color="auto" w:fill="A20000"/>
            <w:vAlign w:val="center"/>
          </w:tcPr>
          <w:p w14:paraId="784E22C6" w14:textId="77777777" w:rsidR="00E568A1" w:rsidRPr="0014339A" w:rsidRDefault="00E568A1" w:rsidP="00E221F6">
            <w:pPr>
              <w:autoSpaceDE w:val="0"/>
              <w:autoSpaceDN w:val="0"/>
              <w:adjustRightInd w:val="0"/>
              <w:spacing w:after="0" w:line="240" w:lineRule="auto"/>
              <w:jc w:val="center"/>
              <w:rPr>
                <w:rFonts w:ascii="Arial" w:hAnsi="Arial" w:cs="Arial"/>
                <w:b/>
                <w:color w:val="FFFFFF"/>
                <w:sz w:val="6"/>
                <w:szCs w:val="6"/>
              </w:rPr>
            </w:pPr>
          </w:p>
          <w:p w14:paraId="68990994" w14:textId="77777777" w:rsidR="00E568A1" w:rsidRPr="0014339A" w:rsidRDefault="00E568A1" w:rsidP="00E221F6">
            <w:pPr>
              <w:autoSpaceDE w:val="0"/>
              <w:autoSpaceDN w:val="0"/>
              <w:adjustRightInd w:val="0"/>
              <w:spacing w:after="0" w:line="240" w:lineRule="auto"/>
              <w:jc w:val="center"/>
              <w:rPr>
                <w:rFonts w:ascii="Arial" w:hAnsi="Arial" w:cs="Arial"/>
                <w:b/>
                <w:color w:val="FFFFFF"/>
                <w:sz w:val="17"/>
                <w:szCs w:val="17"/>
                <w:lang w:val="en-US"/>
              </w:rPr>
            </w:pPr>
            <w:r w:rsidRPr="0014339A">
              <w:rPr>
                <w:rFonts w:ascii="Arial" w:hAnsi="Arial" w:cs="Arial"/>
                <w:b/>
                <w:color w:val="FFFFFF"/>
                <w:sz w:val="17"/>
                <w:szCs w:val="17"/>
                <w:lang w:val="en-US"/>
              </w:rPr>
              <w:t>Оцінка якості</w:t>
            </w:r>
          </w:p>
          <w:p w14:paraId="52115226" w14:textId="77777777" w:rsidR="00E568A1" w:rsidRPr="0014339A" w:rsidRDefault="00E568A1" w:rsidP="00E221F6">
            <w:pPr>
              <w:autoSpaceDE w:val="0"/>
              <w:autoSpaceDN w:val="0"/>
              <w:adjustRightInd w:val="0"/>
              <w:spacing w:after="0" w:line="240" w:lineRule="auto"/>
              <w:jc w:val="center"/>
              <w:rPr>
                <w:rFonts w:ascii="Arial" w:hAnsi="Arial" w:cs="Arial"/>
                <w:b/>
                <w:color w:val="FFFFFF"/>
                <w:sz w:val="6"/>
                <w:szCs w:val="6"/>
                <w:lang w:val="en-US"/>
              </w:rPr>
            </w:pPr>
          </w:p>
        </w:tc>
        <w:tc>
          <w:tcPr>
            <w:tcW w:w="2410" w:type="dxa"/>
            <w:gridSpan w:val="2"/>
            <w:shd w:val="clear" w:color="auto" w:fill="A20000"/>
            <w:vAlign w:val="center"/>
          </w:tcPr>
          <w:p w14:paraId="7D895E68" w14:textId="77777777" w:rsidR="00E568A1" w:rsidRPr="0014339A" w:rsidRDefault="00E568A1" w:rsidP="00E221F6">
            <w:pPr>
              <w:autoSpaceDE w:val="0"/>
              <w:autoSpaceDN w:val="0"/>
              <w:adjustRightInd w:val="0"/>
              <w:spacing w:after="0" w:line="240" w:lineRule="auto"/>
              <w:jc w:val="center"/>
              <w:rPr>
                <w:rFonts w:ascii="Arial" w:hAnsi="Arial" w:cs="Arial"/>
                <w:b/>
                <w:color w:val="FFFFFF"/>
                <w:sz w:val="17"/>
                <w:szCs w:val="17"/>
                <w:lang w:val="uk-UA"/>
              </w:rPr>
            </w:pPr>
            <w:r w:rsidRPr="0014339A">
              <w:rPr>
                <w:rFonts w:ascii="Arial" w:hAnsi="Arial" w:cs="Arial"/>
                <w:b/>
                <w:color w:val="FFFFFF"/>
                <w:sz w:val="17"/>
                <w:szCs w:val="17"/>
                <w:lang w:val="uk-UA"/>
              </w:rPr>
              <w:t>Кількість пацієнтів</w:t>
            </w:r>
          </w:p>
        </w:tc>
        <w:tc>
          <w:tcPr>
            <w:tcW w:w="2410" w:type="dxa"/>
            <w:gridSpan w:val="2"/>
            <w:shd w:val="clear" w:color="auto" w:fill="A20000"/>
            <w:vAlign w:val="center"/>
          </w:tcPr>
          <w:p w14:paraId="19F7BD7C" w14:textId="51EE4356" w:rsidR="00E568A1" w:rsidRPr="0014339A" w:rsidRDefault="00F238E3" w:rsidP="00E221F6">
            <w:pPr>
              <w:autoSpaceDE w:val="0"/>
              <w:autoSpaceDN w:val="0"/>
              <w:adjustRightInd w:val="0"/>
              <w:spacing w:after="0" w:line="240" w:lineRule="auto"/>
              <w:jc w:val="center"/>
              <w:rPr>
                <w:rFonts w:ascii="Arial" w:hAnsi="Arial" w:cs="Arial"/>
                <w:b/>
                <w:color w:val="FFFFFF"/>
                <w:sz w:val="17"/>
                <w:szCs w:val="17"/>
                <w:lang w:val="uk-UA"/>
              </w:rPr>
            </w:pPr>
            <w:r>
              <w:rPr>
                <w:rFonts w:ascii="Arial" w:hAnsi="Arial" w:cs="Arial"/>
                <w:b/>
                <w:color w:val="FFFFFF"/>
                <w:sz w:val="17"/>
                <w:szCs w:val="17"/>
                <w:lang w:val="uk-UA"/>
              </w:rPr>
              <w:t>Результат</w:t>
            </w:r>
          </w:p>
        </w:tc>
        <w:tc>
          <w:tcPr>
            <w:tcW w:w="1134" w:type="dxa"/>
            <w:shd w:val="clear" w:color="auto" w:fill="A20000"/>
            <w:vAlign w:val="center"/>
          </w:tcPr>
          <w:p w14:paraId="502D01B5" w14:textId="77777777" w:rsidR="00E568A1" w:rsidRPr="0014339A" w:rsidRDefault="00E568A1" w:rsidP="00E221F6">
            <w:pPr>
              <w:autoSpaceDE w:val="0"/>
              <w:autoSpaceDN w:val="0"/>
              <w:adjustRightInd w:val="0"/>
              <w:spacing w:after="0" w:line="240" w:lineRule="auto"/>
              <w:jc w:val="center"/>
              <w:rPr>
                <w:rFonts w:ascii="Arial" w:hAnsi="Arial" w:cs="Arial"/>
                <w:b/>
                <w:color w:val="FFFFFF"/>
                <w:sz w:val="17"/>
                <w:szCs w:val="17"/>
                <w:lang w:val="uk-UA"/>
              </w:rPr>
            </w:pPr>
            <w:r w:rsidRPr="0014339A">
              <w:rPr>
                <w:rFonts w:ascii="Arial" w:hAnsi="Arial" w:cs="Arial"/>
                <w:b/>
                <w:color w:val="FFFFFF"/>
                <w:sz w:val="17"/>
                <w:szCs w:val="17"/>
                <w:lang w:val="uk-UA"/>
              </w:rPr>
              <w:t>Якість</w:t>
            </w:r>
          </w:p>
        </w:tc>
        <w:tc>
          <w:tcPr>
            <w:tcW w:w="1701" w:type="dxa"/>
            <w:shd w:val="clear" w:color="auto" w:fill="A20000"/>
            <w:vAlign w:val="center"/>
          </w:tcPr>
          <w:p w14:paraId="69A7576A" w14:textId="00909DD2" w:rsidR="00E568A1" w:rsidRPr="0014339A" w:rsidRDefault="00F238E3" w:rsidP="00E221F6">
            <w:pPr>
              <w:autoSpaceDE w:val="0"/>
              <w:autoSpaceDN w:val="0"/>
              <w:adjustRightInd w:val="0"/>
              <w:spacing w:after="0" w:line="240" w:lineRule="auto"/>
              <w:jc w:val="center"/>
              <w:rPr>
                <w:rFonts w:ascii="Arial" w:hAnsi="Arial" w:cs="Arial"/>
                <w:b/>
                <w:color w:val="FFFFFF"/>
                <w:sz w:val="17"/>
                <w:szCs w:val="17"/>
                <w:lang w:val="uk-UA"/>
              </w:rPr>
            </w:pPr>
            <w:r>
              <w:rPr>
                <w:rFonts w:ascii="Arial" w:hAnsi="Arial" w:cs="Arial"/>
                <w:b/>
                <w:color w:val="FFFFFF"/>
                <w:sz w:val="17"/>
                <w:szCs w:val="17"/>
                <w:lang w:val="uk-UA"/>
              </w:rPr>
              <w:t>Важливість</w:t>
            </w:r>
          </w:p>
        </w:tc>
      </w:tr>
      <w:tr w:rsidR="00E568A1" w:rsidRPr="0014339A" w14:paraId="65BB785D" w14:textId="77777777" w:rsidTr="00447616">
        <w:trPr>
          <w:trHeight w:val="872"/>
        </w:trPr>
        <w:tc>
          <w:tcPr>
            <w:tcW w:w="1068" w:type="dxa"/>
            <w:shd w:val="clear" w:color="auto" w:fill="A20000"/>
          </w:tcPr>
          <w:p w14:paraId="25944F04" w14:textId="5CE3498A" w:rsidR="00E568A1" w:rsidRPr="0014339A" w:rsidRDefault="00F238E3"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Номер дослідження</w:t>
            </w:r>
          </w:p>
        </w:tc>
        <w:tc>
          <w:tcPr>
            <w:tcW w:w="1068" w:type="dxa"/>
            <w:shd w:val="clear" w:color="auto" w:fill="A20000"/>
          </w:tcPr>
          <w:p w14:paraId="45A81ECD" w14:textId="266C93F8" w:rsidR="00E568A1" w:rsidRPr="0014339A" w:rsidRDefault="00F238E3"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Формат</w:t>
            </w:r>
          </w:p>
        </w:tc>
        <w:tc>
          <w:tcPr>
            <w:tcW w:w="1069" w:type="dxa"/>
            <w:shd w:val="clear" w:color="auto" w:fill="A20000"/>
          </w:tcPr>
          <w:p w14:paraId="5DB269D9" w14:textId="1C3B0707" w:rsidR="00E568A1" w:rsidRPr="0014339A" w:rsidRDefault="00F238E3" w:rsidP="00447616">
            <w:pPr>
              <w:autoSpaceDE w:val="0"/>
              <w:autoSpaceDN w:val="0"/>
              <w:adjustRightInd w:val="0"/>
              <w:spacing w:after="0" w:line="240" w:lineRule="auto"/>
              <w:jc w:val="center"/>
              <w:rPr>
                <w:rFonts w:ascii="Arial" w:hAnsi="Arial" w:cs="Arial"/>
                <w:b/>
                <w:color w:val="FFFFFF"/>
                <w:sz w:val="15"/>
                <w:szCs w:val="15"/>
                <w:lang w:val="en-US"/>
              </w:rPr>
            </w:pPr>
            <w:r>
              <w:rPr>
                <w:rFonts w:ascii="Arial" w:hAnsi="Arial" w:cs="Arial"/>
                <w:b/>
                <w:color w:val="FFFFFF"/>
                <w:sz w:val="15"/>
                <w:szCs w:val="15"/>
                <w:lang w:val="en-US"/>
              </w:rPr>
              <w:t>Ризик системної помилки</w:t>
            </w:r>
          </w:p>
        </w:tc>
        <w:tc>
          <w:tcPr>
            <w:tcW w:w="1068" w:type="dxa"/>
            <w:shd w:val="clear" w:color="auto" w:fill="A20000"/>
          </w:tcPr>
          <w:p w14:paraId="20939FB2" w14:textId="1400B866" w:rsidR="00E568A1"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Pr>
                <w:rFonts w:ascii="Arial" w:hAnsi="Arial" w:cs="Arial"/>
                <w:b/>
                <w:color w:val="FFFFFF"/>
                <w:sz w:val="16"/>
                <w:szCs w:val="16"/>
                <w:lang w:val="uk-UA"/>
              </w:rPr>
              <w:t>Неузгодженість</w:t>
            </w:r>
          </w:p>
        </w:tc>
        <w:tc>
          <w:tcPr>
            <w:tcW w:w="1069" w:type="dxa"/>
            <w:shd w:val="clear" w:color="auto" w:fill="A20000"/>
          </w:tcPr>
          <w:p w14:paraId="5A623EC9"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5"/>
                <w:szCs w:val="15"/>
                <w:lang w:val="uk-UA"/>
              </w:rPr>
              <w:t>Опосеред-кованість</w:t>
            </w:r>
          </w:p>
        </w:tc>
        <w:tc>
          <w:tcPr>
            <w:tcW w:w="1068" w:type="dxa"/>
            <w:shd w:val="clear" w:color="auto" w:fill="A20000"/>
          </w:tcPr>
          <w:p w14:paraId="060F9E08"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en-US"/>
              </w:rPr>
            </w:pPr>
            <w:r w:rsidRPr="0014339A">
              <w:rPr>
                <w:rFonts w:ascii="Arial" w:hAnsi="Arial" w:cs="Arial"/>
                <w:b/>
                <w:color w:val="FFFFFF"/>
                <w:sz w:val="16"/>
                <w:szCs w:val="16"/>
                <w:lang w:val="en-US"/>
              </w:rPr>
              <w:t>Неточ</w:t>
            </w:r>
            <w:r w:rsidRPr="0014339A">
              <w:rPr>
                <w:rFonts w:ascii="Arial" w:hAnsi="Arial" w:cs="Arial"/>
                <w:b/>
                <w:color w:val="FFFFFF"/>
                <w:sz w:val="16"/>
                <w:szCs w:val="16"/>
                <w:lang w:val="uk-UA"/>
              </w:rPr>
              <w:t>-</w:t>
            </w:r>
            <w:r w:rsidRPr="0014339A">
              <w:rPr>
                <w:rFonts w:ascii="Arial" w:hAnsi="Arial" w:cs="Arial"/>
                <w:b/>
                <w:color w:val="FFFFFF"/>
                <w:sz w:val="16"/>
                <w:szCs w:val="16"/>
                <w:lang w:val="en-US"/>
              </w:rPr>
              <w:t>ність</w:t>
            </w:r>
          </w:p>
        </w:tc>
        <w:tc>
          <w:tcPr>
            <w:tcW w:w="1069" w:type="dxa"/>
            <w:shd w:val="clear" w:color="auto" w:fill="A20000"/>
          </w:tcPr>
          <w:p w14:paraId="202E59CC"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5"/>
                <w:szCs w:val="15"/>
                <w:lang w:val="uk-UA"/>
              </w:rPr>
              <w:t>Інші</w:t>
            </w:r>
          </w:p>
          <w:p w14:paraId="2D37A620" w14:textId="1B48A9AB" w:rsidR="00E568A1" w:rsidRPr="0014339A" w:rsidRDefault="00F238E3"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зауваження</w:t>
            </w:r>
          </w:p>
        </w:tc>
        <w:tc>
          <w:tcPr>
            <w:tcW w:w="1205" w:type="dxa"/>
            <w:shd w:val="clear" w:color="auto" w:fill="A20000"/>
          </w:tcPr>
          <w:p w14:paraId="4AECEA3F"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6"/>
                <w:szCs w:val="16"/>
                <w:lang w:val="uk-UA"/>
              </w:rPr>
              <w:t>Додавання БДК</w:t>
            </w:r>
            <w:r w:rsidRPr="0014339A">
              <w:rPr>
                <w:rFonts w:ascii="Arial" w:hAnsi="Arial" w:cs="Arial"/>
                <w:b/>
                <w:color w:val="FFFFFF"/>
                <w:sz w:val="15"/>
                <w:szCs w:val="15"/>
                <w:lang w:val="uk-UA"/>
              </w:rPr>
              <w:t xml:space="preserve">* </w:t>
            </w:r>
            <w:r w:rsidRPr="0014339A">
              <w:rPr>
                <w:rFonts w:ascii="Arial" w:hAnsi="Arial" w:cs="Arial"/>
                <w:b/>
                <w:color w:val="FFFFFF"/>
                <w:sz w:val="16"/>
                <w:szCs w:val="16"/>
                <w:lang w:val="uk-UA"/>
              </w:rPr>
              <w:t>до ФР</w:t>
            </w:r>
            <w:r w:rsidRPr="0014339A">
              <w:rPr>
                <w:rFonts w:ascii="Arial" w:hAnsi="Arial" w:cs="Arial"/>
                <w:b/>
                <w:color w:val="FFFFFF"/>
                <w:sz w:val="15"/>
                <w:szCs w:val="15"/>
                <w:lang w:val="uk-UA"/>
              </w:rPr>
              <w:t>**</w:t>
            </w:r>
          </w:p>
        </w:tc>
        <w:tc>
          <w:tcPr>
            <w:tcW w:w="1205" w:type="dxa"/>
            <w:shd w:val="clear" w:color="auto" w:fill="A20000"/>
          </w:tcPr>
          <w:p w14:paraId="7DE35DCE"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Тільки ФР</w:t>
            </w:r>
          </w:p>
        </w:tc>
        <w:tc>
          <w:tcPr>
            <w:tcW w:w="1205" w:type="dxa"/>
            <w:shd w:val="clear" w:color="auto" w:fill="A20000"/>
          </w:tcPr>
          <w:p w14:paraId="1692AFC2"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Відносний</w:t>
            </w:r>
          </w:p>
          <w:p w14:paraId="146D6C23"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(95% ДІ)</w:t>
            </w:r>
          </w:p>
        </w:tc>
        <w:tc>
          <w:tcPr>
            <w:tcW w:w="1205" w:type="dxa"/>
            <w:shd w:val="clear" w:color="auto" w:fill="A20000"/>
          </w:tcPr>
          <w:p w14:paraId="44DA3934"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Абсолют-ний</w:t>
            </w:r>
          </w:p>
        </w:tc>
        <w:tc>
          <w:tcPr>
            <w:tcW w:w="1134" w:type="dxa"/>
            <w:shd w:val="clear" w:color="auto" w:fill="A20000"/>
          </w:tcPr>
          <w:p w14:paraId="02D16C77" w14:textId="77777777" w:rsidR="00E568A1" w:rsidRPr="0014339A" w:rsidRDefault="00E568A1" w:rsidP="00447616">
            <w:pPr>
              <w:autoSpaceDE w:val="0"/>
              <w:autoSpaceDN w:val="0"/>
              <w:adjustRightInd w:val="0"/>
              <w:spacing w:after="0" w:line="240" w:lineRule="auto"/>
              <w:jc w:val="center"/>
              <w:rPr>
                <w:rFonts w:ascii="Arial" w:hAnsi="Arial" w:cs="Arial"/>
                <w:b/>
                <w:color w:val="FFFFFF"/>
                <w:sz w:val="16"/>
                <w:szCs w:val="16"/>
                <w:lang w:val="uk-UA"/>
              </w:rPr>
            </w:pPr>
          </w:p>
        </w:tc>
        <w:tc>
          <w:tcPr>
            <w:tcW w:w="1701" w:type="dxa"/>
            <w:shd w:val="clear" w:color="auto" w:fill="A20000"/>
          </w:tcPr>
          <w:p w14:paraId="373ACC46" w14:textId="77777777" w:rsidR="00E568A1" w:rsidRPr="0014339A" w:rsidRDefault="00E568A1" w:rsidP="00E221F6">
            <w:pPr>
              <w:autoSpaceDE w:val="0"/>
              <w:autoSpaceDN w:val="0"/>
              <w:adjustRightInd w:val="0"/>
              <w:spacing w:after="0" w:line="240" w:lineRule="auto"/>
              <w:jc w:val="both"/>
              <w:rPr>
                <w:rFonts w:ascii="Arial" w:hAnsi="Arial" w:cs="Arial"/>
                <w:b/>
                <w:color w:val="FFFFFF"/>
                <w:sz w:val="16"/>
                <w:szCs w:val="16"/>
                <w:lang w:val="uk-UA"/>
              </w:rPr>
            </w:pPr>
          </w:p>
        </w:tc>
      </w:tr>
      <w:tr w:rsidR="00E568A1" w:rsidRPr="00CD4C98" w14:paraId="2179AE2C" w14:textId="77777777" w:rsidTr="004C1D9D">
        <w:tblPrEx>
          <w:tblBorders>
            <w:top w:val="none" w:sz="0" w:space="0" w:color="auto"/>
            <w:bottom w:val="none" w:sz="0" w:space="0" w:color="auto"/>
            <w:insideH w:val="none" w:sz="0" w:space="0" w:color="auto"/>
            <w:insideV w:val="none" w:sz="0" w:space="0" w:color="auto"/>
          </w:tblBorders>
        </w:tblPrEx>
        <w:tc>
          <w:tcPr>
            <w:tcW w:w="15134" w:type="dxa"/>
            <w:gridSpan w:val="13"/>
            <w:shd w:val="clear" w:color="auto" w:fill="F2ACB1"/>
            <w:vAlign w:val="center"/>
          </w:tcPr>
          <w:p w14:paraId="64057DF2" w14:textId="73C7BA83" w:rsidR="00E568A1" w:rsidRPr="00A81BDF" w:rsidRDefault="00447616" w:rsidP="00E221F6">
            <w:pPr>
              <w:autoSpaceDE w:val="0"/>
              <w:autoSpaceDN w:val="0"/>
              <w:adjustRightInd w:val="0"/>
              <w:spacing w:after="0" w:line="240" w:lineRule="auto"/>
              <w:rPr>
                <w:rFonts w:ascii="Arial" w:hAnsi="Arial" w:cs="Arial"/>
                <w:b/>
                <w:i/>
                <w:color w:val="000000"/>
                <w:sz w:val="17"/>
                <w:szCs w:val="17"/>
              </w:rPr>
            </w:pPr>
            <w:r>
              <w:rPr>
                <w:rFonts w:ascii="Arial" w:hAnsi="Arial" w:cs="Arial"/>
                <w:b/>
                <w:i/>
                <w:color w:val="000000"/>
                <w:sz w:val="17"/>
                <w:szCs w:val="17"/>
                <w:lang w:val="uk-UA"/>
              </w:rPr>
              <w:t>Пацієнти</w:t>
            </w:r>
            <w:r w:rsidR="00E568A1" w:rsidRPr="00A81BDF">
              <w:rPr>
                <w:rFonts w:ascii="Arial" w:hAnsi="Arial" w:cs="Arial"/>
                <w:b/>
                <w:i/>
                <w:color w:val="000000"/>
                <w:sz w:val="17"/>
                <w:szCs w:val="17"/>
              </w:rPr>
              <w:t>, які одужали наприкінці дослідження: 120 тижнів (</w:t>
            </w:r>
            <w:r w:rsidR="00E568A1" w:rsidRPr="00E221F6">
              <w:rPr>
                <w:rFonts w:ascii="Arial" w:hAnsi="Arial" w:cs="Arial"/>
                <w:b/>
                <w:i/>
                <w:color w:val="000000"/>
                <w:sz w:val="17"/>
                <w:szCs w:val="17"/>
                <w:lang w:val="en-US"/>
              </w:rPr>
              <w:t>C</w:t>
            </w:r>
            <w:r w:rsidR="00E568A1" w:rsidRPr="00A81BDF">
              <w:rPr>
                <w:rFonts w:ascii="Arial" w:hAnsi="Arial" w:cs="Arial"/>
                <w:b/>
                <w:i/>
                <w:color w:val="000000"/>
                <w:sz w:val="17"/>
                <w:szCs w:val="17"/>
              </w:rPr>
              <w:t xml:space="preserve">208 2-й етап: </w:t>
            </w:r>
            <w:r w:rsidR="00E568A1" w:rsidRPr="00E221F6">
              <w:rPr>
                <w:rFonts w:ascii="Arial" w:hAnsi="Arial" w:cs="Arial"/>
                <w:b/>
                <w:i/>
                <w:color w:val="000000"/>
                <w:sz w:val="17"/>
                <w:szCs w:val="17"/>
                <w:lang w:val="en-US"/>
              </w:rPr>
              <w:t>mITT</w:t>
            </w:r>
            <w:r w:rsidR="00E568A1" w:rsidRPr="00A81BDF">
              <w:rPr>
                <w:rFonts w:ascii="Arial" w:hAnsi="Arial" w:cs="Arial"/>
                <w:b/>
                <w:i/>
                <w:color w:val="000000"/>
                <w:sz w:val="17"/>
                <w:szCs w:val="17"/>
              </w:rPr>
              <w:t xml:space="preserve">) </w:t>
            </w:r>
            <w:r w:rsidR="00E568A1" w:rsidRPr="00A81BDF">
              <w:rPr>
                <w:rFonts w:ascii="Arial" w:hAnsi="Arial" w:cs="Arial"/>
                <w:b/>
                <w:i/>
                <w:color w:val="000000"/>
                <w:sz w:val="17"/>
                <w:szCs w:val="17"/>
                <w:vertAlign w:val="superscript"/>
              </w:rPr>
              <w:t>1, 2</w:t>
            </w:r>
          </w:p>
          <w:p w14:paraId="41BD97E9" w14:textId="77777777" w:rsidR="00E568A1" w:rsidRPr="00A81BDF" w:rsidRDefault="00E568A1" w:rsidP="00E221F6">
            <w:pPr>
              <w:autoSpaceDE w:val="0"/>
              <w:autoSpaceDN w:val="0"/>
              <w:adjustRightInd w:val="0"/>
              <w:spacing w:after="0" w:line="240" w:lineRule="auto"/>
              <w:rPr>
                <w:rFonts w:ascii="Arial" w:hAnsi="Arial" w:cs="Arial"/>
                <w:b/>
                <w:i/>
                <w:color w:val="000000"/>
                <w:sz w:val="8"/>
                <w:szCs w:val="8"/>
              </w:rPr>
            </w:pPr>
          </w:p>
        </w:tc>
      </w:tr>
      <w:tr w:rsidR="00E568A1" w:rsidRPr="00CD4C98" w14:paraId="4367150A" w14:textId="77777777" w:rsidTr="00E221F6">
        <w:trPr>
          <w:trHeight w:val="855"/>
        </w:trPr>
        <w:tc>
          <w:tcPr>
            <w:tcW w:w="1068" w:type="dxa"/>
          </w:tcPr>
          <w:p w14:paraId="541B905F"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1</w:t>
            </w:r>
            <w:r w:rsidRPr="00E221F6">
              <w:rPr>
                <w:rFonts w:ascii="Arial" w:hAnsi="Arial" w:cs="Arial"/>
                <w:color w:val="000000"/>
                <w:sz w:val="18"/>
                <w:szCs w:val="18"/>
                <w:vertAlign w:val="superscript"/>
                <w:lang w:val="uk-UA"/>
              </w:rPr>
              <w:t>3/</w:t>
            </w:r>
          </w:p>
        </w:tc>
        <w:tc>
          <w:tcPr>
            <w:tcW w:w="1068" w:type="dxa"/>
          </w:tcPr>
          <w:p w14:paraId="407E63CE" w14:textId="6D378549" w:rsidR="00E568A1" w:rsidRPr="00E221F6" w:rsidRDefault="00E568A1" w:rsidP="00447616">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sidR="00447616">
              <w:rPr>
                <w:rFonts w:ascii="Arial" w:hAnsi="Arial" w:cs="Arial"/>
                <w:color w:val="000000"/>
                <w:sz w:val="16"/>
                <w:szCs w:val="16"/>
                <w:lang w:val="uk-UA"/>
              </w:rPr>
              <w:t>дослідження</w:t>
            </w:r>
          </w:p>
        </w:tc>
        <w:tc>
          <w:tcPr>
            <w:tcW w:w="1069" w:type="dxa"/>
          </w:tcPr>
          <w:p w14:paraId="4BC7A0C4" w14:textId="1152044F" w:rsidR="00E568A1" w:rsidRPr="00E221F6" w:rsidRDefault="00CB2D02" w:rsidP="00E221F6">
            <w:pPr>
              <w:autoSpaceDE w:val="0"/>
              <w:autoSpaceDN w:val="0"/>
              <w:adjustRightInd w:val="0"/>
              <w:spacing w:after="0" w:line="240" w:lineRule="auto"/>
              <w:jc w:val="both"/>
              <w:rPr>
                <w:rFonts w:ascii="Arial" w:hAnsi="Arial" w:cs="Arial"/>
                <w:color w:val="000000"/>
                <w:sz w:val="16"/>
                <w:szCs w:val="16"/>
                <w:lang w:val="uk-UA"/>
              </w:rPr>
            </w:pPr>
            <w:r w:rsidRPr="00CB2D02">
              <w:rPr>
                <w:rFonts w:ascii="Arial" w:hAnsi="Arial" w:cs="Arial"/>
                <w:color w:val="000000"/>
                <w:sz w:val="16"/>
                <w:szCs w:val="16"/>
              </w:rPr>
              <w:t>немає серйозного ризику сис</w:t>
            </w:r>
            <w:r>
              <w:rPr>
                <w:rFonts w:ascii="Arial" w:hAnsi="Arial" w:cs="Arial"/>
                <w:color w:val="000000"/>
                <w:sz w:val="16"/>
                <w:szCs w:val="16"/>
                <w:lang w:val="uk-UA"/>
              </w:rPr>
              <w:t>-</w:t>
            </w:r>
            <w:r w:rsidRPr="00CB2D02">
              <w:rPr>
                <w:rFonts w:ascii="Arial" w:hAnsi="Arial" w:cs="Arial"/>
                <w:color w:val="000000"/>
                <w:sz w:val="16"/>
                <w:szCs w:val="16"/>
              </w:rPr>
              <w:t>те</w:t>
            </w:r>
            <w:r>
              <w:rPr>
                <w:rFonts w:ascii="Arial" w:hAnsi="Arial" w:cs="Arial"/>
                <w:color w:val="000000"/>
                <w:sz w:val="16"/>
                <w:szCs w:val="16"/>
              </w:rPr>
              <w:t>м</w:t>
            </w:r>
            <w:r w:rsidR="00447616">
              <w:rPr>
                <w:rFonts w:ascii="Arial" w:hAnsi="Arial" w:cs="Arial"/>
                <w:color w:val="000000"/>
                <w:sz w:val="16"/>
                <w:szCs w:val="16"/>
              </w:rPr>
              <w:t>н</w:t>
            </w:r>
            <w:r w:rsidRPr="00CB2D02">
              <w:rPr>
                <w:rFonts w:ascii="Arial" w:hAnsi="Arial" w:cs="Arial"/>
                <w:color w:val="000000"/>
                <w:sz w:val="16"/>
                <w:szCs w:val="16"/>
              </w:rPr>
              <w:t>ої помилки</w:t>
            </w:r>
            <w:r w:rsidR="00E568A1" w:rsidRPr="00CB2D02">
              <w:rPr>
                <w:rFonts w:ascii="Arial" w:hAnsi="Arial" w:cs="Arial"/>
                <w:color w:val="000000"/>
                <w:sz w:val="16"/>
                <w:szCs w:val="16"/>
                <w:vertAlign w:val="superscript"/>
              </w:rPr>
              <w:t>4</w:t>
            </w:r>
            <w:r w:rsidR="00E568A1" w:rsidRPr="00E221F6">
              <w:rPr>
                <w:rFonts w:ascii="Arial" w:hAnsi="Arial" w:cs="Arial"/>
                <w:color w:val="000000"/>
                <w:sz w:val="16"/>
                <w:szCs w:val="16"/>
                <w:vertAlign w:val="superscript"/>
                <w:lang w:val="uk-UA"/>
              </w:rPr>
              <w:t>/</w:t>
            </w:r>
          </w:p>
        </w:tc>
        <w:tc>
          <w:tcPr>
            <w:tcW w:w="1068" w:type="dxa"/>
          </w:tcPr>
          <w:p w14:paraId="446F4B41" w14:textId="77777777" w:rsidR="00E568A1" w:rsidRPr="00E221F6" w:rsidRDefault="00E568A1"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sidR="00CB2D02">
              <w:rPr>
                <w:rFonts w:ascii="Arial" w:hAnsi="Arial" w:cs="Arial"/>
                <w:color w:val="000000"/>
                <w:sz w:val="16"/>
                <w:szCs w:val="16"/>
                <w:lang w:val="uk-UA"/>
              </w:rPr>
              <w:t>неузго-дженості</w:t>
            </w:r>
          </w:p>
        </w:tc>
        <w:tc>
          <w:tcPr>
            <w:tcW w:w="1069" w:type="dxa"/>
          </w:tcPr>
          <w:p w14:paraId="7CA6E476"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серйозна</w:t>
            </w:r>
            <w:r w:rsidRPr="00E221F6">
              <w:rPr>
                <w:rFonts w:ascii="Arial" w:hAnsi="Arial" w:cs="Arial"/>
                <w:color w:val="000000"/>
                <w:sz w:val="18"/>
                <w:szCs w:val="18"/>
                <w:vertAlign w:val="superscript"/>
                <w:lang w:val="uk-UA"/>
              </w:rPr>
              <w:t>5/</w:t>
            </w:r>
          </w:p>
        </w:tc>
        <w:tc>
          <w:tcPr>
            <w:tcW w:w="1068" w:type="dxa"/>
          </w:tcPr>
          <w:p w14:paraId="299779A1"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 xml:space="preserve">серйозна </w:t>
            </w:r>
            <w:r w:rsidRPr="00E221F6">
              <w:rPr>
                <w:rFonts w:ascii="Arial" w:hAnsi="Arial" w:cs="Arial"/>
                <w:color w:val="000000"/>
                <w:sz w:val="18"/>
                <w:szCs w:val="18"/>
                <w:vertAlign w:val="superscript"/>
                <w:lang w:val="uk-UA"/>
              </w:rPr>
              <w:t>5</w:t>
            </w:r>
          </w:p>
        </w:tc>
        <w:tc>
          <w:tcPr>
            <w:tcW w:w="1069" w:type="dxa"/>
          </w:tcPr>
          <w:p w14:paraId="3321EB95" w14:textId="77777777" w:rsidR="00E568A1" w:rsidRPr="00E221F6" w:rsidRDefault="00E568A1" w:rsidP="00E221F6">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немає</w:t>
            </w:r>
          </w:p>
        </w:tc>
        <w:tc>
          <w:tcPr>
            <w:tcW w:w="1205" w:type="dxa"/>
          </w:tcPr>
          <w:p w14:paraId="375781A8" w14:textId="77777777" w:rsidR="00E568A1" w:rsidRPr="00E221F6" w:rsidRDefault="00E568A1" w:rsidP="00E221F6">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 xml:space="preserve">38/66 </w:t>
            </w:r>
            <w:r w:rsidRPr="00E221F6">
              <w:rPr>
                <w:rFonts w:ascii="Arial" w:hAnsi="Arial" w:cs="Arial"/>
                <w:color w:val="000000"/>
                <w:sz w:val="17"/>
                <w:szCs w:val="17"/>
                <w:vertAlign w:val="superscript"/>
                <w:lang w:val="uk-UA"/>
              </w:rPr>
              <w:t>1</w:t>
            </w:r>
          </w:p>
          <w:p w14:paraId="3315CB4B" w14:textId="77777777" w:rsidR="00E568A1" w:rsidRPr="00E221F6" w:rsidRDefault="00E568A1" w:rsidP="00E221F6">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(57.6%)</w:t>
            </w:r>
          </w:p>
        </w:tc>
        <w:tc>
          <w:tcPr>
            <w:tcW w:w="1205" w:type="dxa"/>
          </w:tcPr>
          <w:p w14:paraId="6624DE1A" w14:textId="77777777" w:rsidR="00E568A1" w:rsidRPr="00E221F6" w:rsidRDefault="00E568A1" w:rsidP="00E221F6">
            <w:pPr>
              <w:autoSpaceDE w:val="0"/>
              <w:autoSpaceDN w:val="0"/>
              <w:adjustRightInd w:val="0"/>
              <w:spacing w:after="0" w:line="240" w:lineRule="auto"/>
              <w:jc w:val="both"/>
              <w:rPr>
                <w:rFonts w:ascii="Arial" w:hAnsi="Arial" w:cs="Arial"/>
                <w:color w:val="000000"/>
                <w:sz w:val="17"/>
                <w:szCs w:val="17"/>
                <w:lang w:val="en-US"/>
              </w:rPr>
            </w:pPr>
            <w:r w:rsidRPr="00E221F6">
              <w:rPr>
                <w:rFonts w:ascii="Arial" w:hAnsi="Arial" w:cs="Arial"/>
                <w:color w:val="000000"/>
                <w:sz w:val="17"/>
                <w:szCs w:val="17"/>
                <w:lang w:val="en-US"/>
              </w:rPr>
              <w:t>21/66</w:t>
            </w:r>
            <w:r w:rsidRPr="00E221F6">
              <w:rPr>
                <w:rFonts w:ascii="Arial" w:hAnsi="Arial" w:cs="Arial"/>
                <w:color w:val="000000"/>
                <w:sz w:val="17"/>
                <w:szCs w:val="17"/>
                <w:lang w:val="uk-UA"/>
              </w:rPr>
              <w:t xml:space="preserve"> </w:t>
            </w:r>
            <w:r w:rsidRPr="00E221F6">
              <w:rPr>
                <w:rFonts w:ascii="Arial" w:hAnsi="Arial" w:cs="Arial"/>
                <w:color w:val="000000"/>
                <w:sz w:val="17"/>
                <w:szCs w:val="17"/>
                <w:vertAlign w:val="superscript"/>
                <w:lang w:val="en-US"/>
              </w:rPr>
              <w:t>1</w:t>
            </w:r>
          </w:p>
          <w:p w14:paraId="2F696DD4" w14:textId="77777777" w:rsidR="00E568A1" w:rsidRPr="00E221F6" w:rsidRDefault="00E568A1" w:rsidP="00E221F6">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en-US"/>
              </w:rPr>
              <w:t>(31.8%)</w:t>
            </w:r>
          </w:p>
          <w:p w14:paraId="7AA72472"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792E1FB9" w14:textId="77777777" w:rsidR="00E568A1" w:rsidRPr="00E221F6" w:rsidRDefault="00E568A1" w:rsidP="00E221F6">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lang w:val="en-US"/>
              </w:rPr>
              <w:t>RR 1.81 (1.26</w:t>
            </w:r>
          </w:p>
          <w:p w14:paraId="7983F537" w14:textId="77777777" w:rsidR="00E568A1" w:rsidRPr="00E221F6" w:rsidRDefault="00E568A1" w:rsidP="00E221F6">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lang w:val="en-US"/>
              </w:rPr>
              <w:t>до 2.31)</w:t>
            </w:r>
            <w:r w:rsidRPr="00E221F6">
              <w:rPr>
                <w:rFonts w:ascii="Arial" w:hAnsi="Arial" w:cs="Arial"/>
                <w:color w:val="000000"/>
                <w:sz w:val="17"/>
                <w:szCs w:val="17"/>
                <w:lang w:val="uk-UA"/>
              </w:rPr>
              <w:t xml:space="preserve"> </w:t>
            </w:r>
            <w:r w:rsidRPr="00E221F6">
              <w:rPr>
                <w:rFonts w:ascii="Arial" w:hAnsi="Arial" w:cs="Arial"/>
                <w:color w:val="000000"/>
                <w:sz w:val="17"/>
                <w:szCs w:val="17"/>
                <w:vertAlign w:val="superscript"/>
                <w:lang w:val="en-US"/>
              </w:rPr>
              <w:t>3,6</w:t>
            </w:r>
          </w:p>
          <w:p w14:paraId="5663264E"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34C16AC2" w14:textId="77777777" w:rsidR="00E568A1" w:rsidRPr="00E221F6" w:rsidRDefault="00E568A1" w:rsidP="00E221F6">
            <w:pPr>
              <w:autoSpaceDE w:val="0"/>
              <w:autoSpaceDN w:val="0"/>
              <w:adjustRightInd w:val="0"/>
              <w:spacing w:after="0" w:line="240" w:lineRule="auto"/>
              <w:rPr>
                <w:rFonts w:ascii="Arial" w:hAnsi="Arial" w:cs="Arial"/>
                <w:color w:val="000000"/>
                <w:sz w:val="16"/>
                <w:szCs w:val="16"/>
              </w:rPr>
            </w:pPr>
            <w:r w:rsidRPr="00E221F6">
              <w:rPr>
                <w:rFonts w:ascii="Arial" w:hAnsi="Arial" w:cs="Arial"/>
                <w:color w:val="000000"/>
                <w:sz w:val="16"/>
                <w:szCs w:val="16"/>
                <w:lang w:val="uk-UA"/>
              </w:rPr>
              <w:t xml:space="preserve">більше на </w:t>
            </w:r>
            <w:r w:rsidRPr="00E221F6">
              <w:rPr>
                <w:rFonts w:ascii="Arial" w:hAnsi="Arial" w:cs="Arial"/>
                <w:color w:val="000000"/>
                <w:sz w:val="16"/>
                <w:szCs w:val="16"/>
              </w:rPr>
              <w:t xml:space="preserve">26 </w:t>
            </w:r>
            <w:r w:rsidRPr="00E221F6">
              <w:rPr>
                <w:rFonts w:ascii="Arial" w:hAnsi="Arial" w:cs="Arial"/>
                <w:color w:val="000000"/>
                <w:sz w:val="16"/>
                <w:szCs w:val="16"/>
                <w:lang w:val="uk-UA"/>
              </w:rPr>
              <w:t xml:space="preserve">на </w:t>
            </w:r>
            <w:r w:rsidRPr="00E221F6">
              <w:rPr>
                <w:rFonts w:ascii="Arial" w:hAnsi="Arial" w:cs="Arial"/>
                <w:color w:val="000000"/>
                <w:sz w:val="16"/>
                <w:szCs w:val="16"/>
              </w:rPr>
              <w:t>100</w:t>
            </w:r>
          </w:p>
          <w:p w14:paraId="7B2967F2" w14:textId="77777777" w:rsidR="00E568A1" w:rsidRPr="00203408" w:rsidRDefault="00E568A1" w:rsidP="00E221F6">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rPr>
              <w:t>(</w:t>
            </w:r>
            <w:r w:rsidR="00203408">
              <w:rPr>
                <w:rFonts w:ascii="Arial" w:hAnsi="Arial" w:cs="Arial"/>
                <w:color w:val="000000"/>
                <w:sz w:val="16"/>
                <w:szCs w:val="16"/>
                <w:lang w:val="uk-UA"/>
              </w:rPr>
              <w:t>збільшення від</w:t>
            </w:r>
            <w:r w:rsidRPr="00E221F6">
              <w:rPr>
                <w:rFonts w:ascii="Arial" w:hAnsi="Arial" w:cs="Arial"/>
                <w:color w:val="000000"/>
                <w:sz w:val="16"/>
                <w:szCs w:val="16"/>
                <w:lang w:val="uk-UA"/>
              </w:rPr>
              <w:t xml:space="preserve"> </w:t>
            </w:r>
            <w:r w:rsidRPr="00E221F6">
              <w:rPr>
                <w:rFonts w:ascii="Arial" w:hAnsi="Arial" w:cs="Arial"/>
                <w:color w:val="000000"/>
                <w:sz w:val="16"/>
                <w:szCs w:val="16"/>
              </w:rPr>
              <w:t xml:space="preserve">8 </w:t>
            </w:r>
            <w:r w:rsidR="00203408">
              <w:rPr>
                <w:rFonts w:ascii="Arial" w:hAnsi="Arial" w:cs="Arial"/>
                <w:color w:val="000000"/>
                <w:sz w:val="16"/>
                <w:szCs w:val="16"/>
                <w:lang w:val="uk-UA"/>
              </w:rPr>
              <w:t xml:space="preserve">до </w:t>
            </w:r>
            <w:r w:rsidRPr="00E221F6">
              <w:rPr>
                <w:rFonts w:ascii="Arial" w:hAnsi="Arial" w:cs="Arial"/>
                <w:color w:val="000000"/>
                <w:sz w:val="16"/>
                <w:szCs w:val="16"/>
              </w:rPr>
              <w:t>42)</w:t>
            </w:r>
          </w:p>
          <w:p w14:paraId="7E859616"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rPr>
            </w:pPr>
          </w:p>
        </w:tc>
        <w:tc>
          <w:tcPr>
            <w:tcW w:w="1134" w:type="dxa"/>
          </w:tcPr>
          <w:p w14:paraId="65DBCED7" w14:textId="77777777" w:rsidR="00E568A1" w:rsidRPr="00E221F6" w:rsidRDefault="00E568A1" w:rsidP="00E221F6">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++ОО</w:t>
            </w:r>
          </w:p>
          <w:p w14:paraId="3C9AE9E5" w14:textId="77777777" w:rsidR="00E568A1" w:rsidRPr="00E221F6" w:rsidRDefault="00E568A1" w:rsidP="00E221F6">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7"/>
                <w:szCs w:val="17"/>
                <w:lang w:val="uk-UA"/>
              </w:rPr>
              <w:t>Низька</w:t>
            </w:r>
          </w:p>
        </w:tc>
        <w:tc>
          <w:tcPr>
            <w:tcW w:w="1701" w:type="dxa"/>
          </w:tcPr>
          <w:p w14:paraId="1E0BBD3A" w14:textId="5E26763E" w:rsidR="00E568A1" w:rsidRPr="00E221F6" w:rsidRDefault="00F238E3" w:rsidP="00E221F6">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r w:rsidR="00E568A1" w:rsidRPr="0074579F" w14:paraId="41B3E8DD" w14:textId="77777777" w:rsidTr="004C1D9D">
        <w:tblPrEx>
          <w:tblBorders>
            <w:top w:val="none" w:sz="0" w:space="0" w:color="auto"/>
            <w:bottom w:val="none" w:sz="0" w:space="0" w:color="auto"/>
            <w:insideH w:val="none" w:sz="0" w:space="0" w:color="auto"/>
            <w:insideV w:val="none" w:sz="0" w:space="0" w:color="auto"/>
          </w:tblBorders>
        </w:tblPrEx>
        <w:tc>
          <w:tcPr>
            <w:tcW w:w="15134" w:type="dxa"/>
            <w:gridSpan w:val="13"/>
            <w:shd w:val="clear" w:color="auto" w:fill="F2ACB1"/>
            <w:vAlign w:val="center"/>
          </w:tcPr>
          <w:p w14:paraId="649EF899" w14:textId="25B643E8" w:rsidR="00E568A1" w:rsidRPr="00A81BDF" w:rsidRDefault="00447616" w:rsidP="00447616">
            <w:pPr>
              <w:autoSpaceDE w:val="0"/>
              <w:autoSpaceDN w:val="0"/>
              <w:adjustRightInd w:val="0"/>
              <w:spacing w:after="0" w:line="240" w:lineRule="auto"/>
              <w:jc w:val="center"/>
              <w:rPr>
                <w:rFonts w:ascii="Arial" w:hAnsi="Arial" w:cs="Arial"/>
                <w:b/>
                <w:i/>
                <w:color w:val="000000"/>
                <w:sz w:val="17"/>
                <w:szCs w:val="17"/>
              </w:rPr>
            </w:pPr>
            <w:r>
              <w:rPr>
                <w:rFonts w:ascii="Arial" w:hAnsi="Arial" w:cs="Arial"/>
                <w:b/>
                <w:i/>
                <w:color w:val="000000"/>
                <w:sz w:val="17"/>
                <w:szCs w:val="17"/>
              </w:rPr>
              <w:t>Серйозні побічні реакції під час досліджуваної фази 24-тижневого</w:t>
            </w:r>
            <w:r w:rsidRPr="00A81BDF">
              <w:rPr>
                <w:rFonts w:ascii="Arial" w:hAnsi="Arial" w:cs="Arial"/>
                <w:b/>
                <w:i/>
                <w:color w:val="000000"/>
                <w:sz w:val="17"/>
                <w:szCs w:val="17"/>
              </w:rPr>
              <w:t xml:space="preserve"> </w:t>
            </w:r>
            <w:r>
              <w:rPr>
                <w:rFonts w:ascii="Arial" w:hAnsi="Arial" w:cs="Arial"/>
                <w:b/>
                <w:i/>
                <w:color w:val="000000"/>
                <w:sz w:val="17"/>
                <w:szCs w:val="17"/>
              </w:rPr>
              <w:t>лікування</w:t>
            </w:r>
            <w:r w:rsidR="00E568A1" w:rsidRPr="00A81BDF">
              <w:rPr>
                <w:rFonts w:ascii="Arial" w:hAnsi="Arial" w:cs="Arial"/>
                <w:b/>
                <w:i/>
                <w:color w:val="000000"/>
                <w:sz w:val="17"/>
                <w:szCs w:val="17"/>
              </w:rPr>
              <w:t xml:space="preserve"> (</w:t>
            </w:r>
            <w:r w:rsidR="00E568A1" w:rsidRPr="00E221F6">
              <w:rPr>
                <w:rFonts w:ascii="Arial" w:hAnsi="Arial" w:cs="Arial"/>
                <w:b/>
                <w:i/>
                <w:color w:val="000000"/>
                <w:sz w:val="17"/>
                <w:szCs w:val="17"/>
                <w:lang w:val="en-US"/>
              </w:rPr>
              <w:t>C</w:t>
            </w:r>
            <w:r w:rsidR="00E568A1" w:rsidRPr="00A81BDF">
              <w:rPr>
                <w:rFonts w:ascii="Arial" w:hAnsi="Arial" w:cs="Arial"/>
                <w:b/>
                <w:i/>
                <w:color w:val="000000"/>
                <w:sz w:val="17"/>
                <w:szCs w:val="17"/>
              </w:rPr>
              <w:t>208</w:t>
            </w:r>
            <w:r>
              <w:rPr>
                <w:rFonts w:ascii="Arial" w:hAnsi="Arial" w:cs="Arial"/>
                <w:b/>
                <w:i/>
                <w:color w:val="000000"/>
                <w:sz w:val="17"/>
                <w:szCs w:val="17"/>
              </w:rPr>
              <w:t>, етапи 1 та 2: ІТТ) 7 (</w:t>
            </w:r>
            <w:r w:rsidR="00E568A1" w:rsidRPr="00A81BDF">
              <w:rPr>
                <w:rFonts w:ascii="Arial" w:hAnsi="Arial" w:cs="Arial"/>
                <w:b/>
                <w:i/>
                <w:color w:val="000000"/>
                <w:sz w:val="17"/>
                <w:szCs w:val="17"/>
              </w:rPr>
              <w:t>за результатами клінічних та лабораторних досліджень)</w:t>
            </w:r>
          </w:p>
        </w:tc>
      </w:tr>
      <w:tr w:rsidR="00CB2D02" w:rsidRPr="009069BE" w14:paraId="056A0A2D" w14:textId="77777777" w:rsidTr="00E221F6">
        <w:trPr>
          <w:trHeight w:val="855"/>
        </w:trPr>
        <w:tc>
          <w:tcPr>
            <w:tcW w:w="1068" w:type="dxa"/>
          </w:tcPr>
          <w:p w14:paraId="2DF9339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 xml:space="preserve">2 </w:t>
            </w:r>
            <w:r w:rsidRPr="00E221F6">
              <w:rPr>
                <w:rFonts w:ascii="Arial" w:hAnsi="Arial" w:cs="Arial"/>
                <w:color w:val="000000"/>
                <w:sz w:val="18"/>
                <w:szCs w:val="18"/>
                <w:vertAlign w:val="superscript"/>
                <w:lang w:val="uk-UA"/>
              </w:rPr>
              <w:t>8/</w:t>
            </w:r>
          </w:p>
        </w:tc>
        <w:tc>
          <w:tcPr>
            <w:tcW w:w="1068" w:type="dxa"/>
          </w:tcPr>
          <w:p w14:paraId="4C3DD2E5" w14:textId="5019CC38" w:rsidR="00CB2D02" w:rsidRPr="00E221F6"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Pr>
                <w:rFonts w:ascii="Arial" w:hAnsi="Arial" w:cs="Arial"/>
                <w:color w:val="000000"/>
                <w:sz w:val="16"/>
                <w:szCs w:val="16"/>
                <w:lang w:val="uk-UA"/>
              </w:rPr>
              <w:t>дослідження</w:t>
            </w:r>
          </w:p>
        </w:tc>
        <w:tc>
          <w:tcPr>
            <w:tcW w:w="1069" w:type="dxa"/>
          </w:tcPr>
          <w:p w14:paraId="7AD07241" w14:textId="3C11BC28"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CB2D02">
              <w:rPr>
                <w:rFonts w:ascii="Arial" w:hAnsi="Arial" w:cs="Arial"/>
                <w:color w:val="000000"/>
                <w:sz w:val="16"/>
                <w:szCs w:val="16"/>
              </w:rPr>
              <w:t>немає серйозного ризику сис</w:t>
            </w:r>
            <w:r>
              <w:rPr>
                <w:rFonts w:ascii="Arial" w:hAnsi="Arial" w:cs="Arial"/>
                <w:color w:val="000000"/>
                <w:sz w:val="16"/>
                <w:szCs w:val="16"/>
                <w:lang w:val="uk-UA"/>
              </w:rPr>
              <w:t>-</w:t>
            </w:r>
            <w:r w:rsidR="00447616">
              <w:rPr>
                <w:rFonts w:ascii="Arial" w:hAnsi="Arial" w:cs="Arial"/>
                <w:color w:val="000000"/>
                <w:sz w:val="16"/>
                <w:szCs w:val="16"/>
              </w:rPr>
              <w:t>тем</w:t>
            </w:r>
            <w:r>
              <w:rPr>
                <w:rFonts w:ascii="Arial" w:hAnsi="Arial" w:cs="Arial"/>
                <w:color w:val="000000"/>
                <w:sz w:val="16"/>
                <w:szCs w:val="16"/>
              </w:rPr>
              <w:t>н</w:t>
            </w:r>
            <w:r w:rsidRPr="00CB2D02">
              <w:rPr>
                <w:rFonts w:ascii="Arial" w:hAnsi="Arial" w:cs="Arial"/>
                <w:color w:val="000000"/>
                <w:sz w:val="16"/>
                <w:szCs w:val="16"/>
              </w:rPr>
              <w:t>ої помилки</w:t>
            </w:r>
          </w:p>
        </w:tc>
        <w:tc>
          <w:tcPr>
            <w:tcW w:w="1068" w:type="dxa"/>
          </w:tcPr>
          <w:p w14:paraId="29BC2A5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Pr>
                <w:rFonts w:ascii="Arial" w:hAnsi="Arial" w:cs="Arial"/>
                <w:color w:val="000000"/>
                <w:sz w:val="16"/>
                <w:szCs w:val="16"/>
                <w:lang w:val="uk-UA"/>
              </w:rPr>
              <w:t>неузго-дженості</w:t>
            </w:r>
          </w:p>
        </w:tc>
        <w:tc>
          <w:tcPr>
            <w:tcW w:w="1069" w:type="dxa"/>
          </w:tcPr>
          <w:p w14:paraId="32B20A47"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 xml:space="preserve">серйозна </w:t>
            </w:r>
            <w:r w:rsidRPr="00E221F6">
              <w:rPr>
                <w:rFonts w:ascii="Arial" w:hAnsi="Arial" w:cs="Arial"/>
                <w:color w:val="000000"/>
                <w:sz w:val="18"/>
                <w:szCs w:val="18"/>
                <w:vertAlign w:val="superscript"/>
                <w:lang w:val="uk-UA"/>
              </w:rPr>
              <w:t>9</w:t>
            </w:r>
          </w:p>
        </w:tc>
        <w:tc>
          <w:tcPr>
            <w:tcW w:w="1068" w:type="dxa"/>
          </w:tcPr>
          <w:p w14:paraId="73410D1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дуже серйозна</w:t>
            </w:r>
            <w:r w:rsidRPr="00E221F6">
              <w:rPr>
                <w:rFonts w:ascii="Arial" w:hAnsi="Arial" w:cs="Arial"/>
                <w:color w:val="000000"/>
                <w:sz w:val="18"/>
                <w:szCs w:val="18"/>
                <w:vertAlign w:val="superscript"/>
                <w:lang w:val="uk-UA"/>
              </w:rPr>
              <w:t>5/</w:t>
            </w:r>
          </w:p>
        </w:tc>
        <w:tc>
          <w:tcPr>
            <w:tcW w:w="1069" w:type="dxa"/>
          </w:tcPr>
          <w:p w14:paraId="21A15B78"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немає</w:t>
            </w:r>
          </w:p>
        </w:tc>
        <w:tc>
          <w:tcPr>
            <w:tcW w:w="1205" w:type="dxa"/>
          </w:tcPr>
          <w:p w14:paraId="463ED226"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 xml:space="preserve">7/102 </w:t>
            </w:r>
            <w:r w:rsidRPr="00E221F6">
              <w:rPr>
                <w:rFonts w:ascii="Arial" w:hAnsi="Arial" w:cs="Arial"/>
                <w:color w:val="000000"/>
                <w:sz w:val="17"/>
                <w:szCs w:val="17"/>
                <w:vertAlign w:val="superscript"/>
                <w:lang w:val="uk-UA"/>
              </w:rPr>
              <w:t>10</w:t>
            </w:r>
          </w:p>
          <w:p w14:paraId="7310E78C"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(6.9%)</w:t>
            </w:r>
          </w:p>
        </w:tc>
        <w:tc>
          <w:tcPr>
            <w:tcW w:w="1205" w:type="dxa"/>
          </w:tcPr>
          <w:p w14:paraId="6A8FEDB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en-US"/>
              </w:rPr>
            </w:pPr>
            <w:r w:rsidRPr="00E221F6">
              <w:rPr>
                <w:rFonts w:ascii="Arial" w:hAnsi="Arial" w:cs="Arial"/>
                <w:color w:val="000000"/>
                <w:sz w:val="17"/>
                <w:szCs w:val="17"/>
                <w:lang w:val="en-US"/>
              </w:rPr>
              <w:t>2/105</w:t>
            </w:r>
          </w:p>
          <w:p w14:paraId="2E9EF85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en-US"/>
              </w:rPr>
              <w:t>(1.9%)</w:t>
            </w:r>
          </w:p>
          <w:p w14:paraId="23AB1028"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7497987C"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rPr>
            </w:pPr>
            <w:r w:rsidRPr="00E221F6">
              <w:rPr>
                <w:rFonts w:ascii="Arial" w:hAnsi="Arial" w:cs="Arial"/>
                <w:color w:val="000000"/>
                <w:sz w:val="17"/>
                <w:szCs w:val="17"/>
                <w:lang w:val="en-US"/>
              </w:rPr>
              <w:t>RR</w:t>
            </w:r>
            <w:r w:rsidRPr="00E221F6">
              <w:rPr>
                <w:rFonts w:ascii="Arial" w:hAnsi="Arial" w:cs="Arial"/>
                <w:color w:val="000000"/>
                <w:sz w:val="17"/>
                <w:szCs w:val="17"/>
              </w:rPr>
              <w:t xml:space="preserve"> 3.</w:t>
            </w:r>
            <w:r w:rsidRPr="00E221F6">
              <w:rPr>
                <w:rFonts w:ascii="Arial" w:hAnsi="Arial" w:cs="Arial"/>
                <w:color w:val="000000"/>
                <w:sz w:val="17"/>
                <w:szCs w:val="17"/>
                <w:lang w:val="uk-UA"/>
              </w:rPr>
              <w:t>6</w:t>
            </w:r>
            <w:r w:rsidRPr="00E221F6">
              <w:rPr>
                <w:rFonts w:ascii="Arial" w:hAnsi="Arial" w:cs="Arial"/>
                <w:color w:val="000000"/>
                <w:sz w:val="17"/>
                <w:szCs w:val="17"/>
              </w:rPr>
              <w:t xml:space="preserve"> </w:t>
            </w:r>
          </w:p>
          <w:p w14:paraId="76C1B199"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rPr>
            </w:pPr>
            <w:r w:rsidRPr="00E221F6">
              <w:rPr>
                <w:rFonts w:ascii="Arial" w:hAnsi="Arial" w:cs="Arial"/>
                <w:color w:val="000000"/>
                <w:sz w:val="17"/>
                <w:szCs w:val="17"/>
              </w:rPr>
              <w:t>(0.77</w:t>
            </w:r>
          </w:p>
          <w:p w14:paraId="7FC731CA"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rPr>
            </w:pPr>
            <w:r w:rsidRPr="00E221F6">
              <w:rPr>
                <w:rFonts w:ascii="Arial" w:hAnsi="Arial" w:cs="Arial"/>
                <w:color w:val="000000"/>
                <w:sz w:val="17"/>
                <w:szCs w:val="17"/>
                <w:lang w:val="en-US"/>
              </w:rPr>
              <w:t>до</w:t>
            </w:r>
            <w:r w:rsidRPr="00E221F6">
              <w:rPr>
                <w:rFonts w:ascii="Arial" w:hAnsi="Arial" w:cs="Arial"/>
                <w:color w:val="000000"/>
                <w:sz w:val="17"/>
                <w:szCs w:val="17"/>
              </w:rPr>
              <w:t xml:space="preserve"> 14.00)</w:t>
            </w:r>
          </w:p>
          <w:p w14:paraId="17CE124A"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57A056C1"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rPr>
            </w:pPr>
            <w:r w:rsidRPr="00E221F6">
              <w:rPr>
                <w:rFonts w:ascii="Arial" w:hAnsi="Arial" w:cs="Arial"/>
                <w:color w:val="000000"/>
                <w:sz w:val="16"/>
                <w:szCs w:val="16"/>
                <w:lang w:val="uk-UA"/>
              </w:rPr>
              <w:t xml:space="preserve">більше на </w:t>
            </w:r>
            <w:r w:rsidRPr="00E221F6">
              <w:rPr>
                <w:rFonts w:ascii="Arial" w:hAnsi="Arial" w:cs="Arial"/>
                <w:color w:val="000000"/>
                <w:sz w:val="16"/>
                <w:szCs w:val="16"/>
              </w:rPr>
              <w:t xml:space="preserve">5 </w:t>
            </w:r>
            <w:r w:rsidRPr="00E221F6">
              <w:rPr>
                <w:rFonts w:ascii="Arial" w:hAnsi="Arial" w:cs="Arial"/>
                <w:color w:val="000000"/>
                <w:sz w:val="16"/>
                <w:szCs w:val="16"/>
                <w:lang w:val="uk-UA"/>
              </w:rPr>
              <w:t xml:space="preserve">на </w:t>
            </w:r>
            <w:r w:rsidRPr="00E221F6">
              <w:rPr>
                <w:rFonts w:ascii="Arial" w:hAnsi="Arial" w:cs="Arial"/>
                <w:color w:val="000000"/>
                <w:sz w:val="16"/>
                <w:szCs w:val="16"/>
              </w:rPr>
              <w:t>100</w:t>
            </w:r>
          </w:p>
          <w:p w14:paraId="3D2D1AF5" w14:textId="77777777" w:rsidR="00CB2D02" w:rsidRPr="00203408"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rPr>
              <w:t>(</w:t>
            </w:r>
            <w:r>
              <w:rPr>
                <w:rFonts w:ascii="Arial" w:hAnsi="Arial" w:cs="Arial"/>
                <w:color w:val="000000"/>
                <w:sz w:val="16"/>
                <w:szCs w:val="16"/>
                <w:lang w:val="uk-UA"/>
              </w:rPr>
              <w:t>збільшення</w:t>
            </w:r>
            <w:r w:rsidRPr="00E221F6">
              <w:rPr>
                <w:rFonts w:ascii="Arial" w:hAnsi="Arial" w:cs="Arial"/>
                <w:color w:val="000000"/>
                <w:sz w:val="16"/>
                <w:szCs w:val="16"/>
                <w:lang w:val="uk-UA"/>
              </w:rPr>
              <w:t xml:space="preserve">від </w:t>
            </w:r>
            <w:r w:rsidRPr="00E221F6">
              <w:rPr>
                <w:rFonts w:ascii="Arial" w:hAnsi="Arial" w:cs="Arial"/>
                <w:color w:val="000000"/>
                <w:sz w:val="16"/>
                <w:szCs w:val="16"/>
              </w:rPr>
              <w:t xml:space="preserve">0 </w:t>
            </w:r>
            <w:r>
              <w:rPr>
                <w:rFonts w:ascii="Arial" w:hAnsi="Arial" w:cs="Arial"/>
                <w:color w:val="000000"/>
                <w:sz w:val="16"/>
                <w:szCs w:val="16"/>
                <w:lang w:val="uk-UA"/>
              </w:rPr>
              <w:t xml:space="preserve">до </w:t>
            </w:r>
            <w:r w:rsidRPr="00E221F6">
              <w:rPr>
                <w:rFonts w:ascii="Arial" w:hAnsi="Arial" w:cs="Arial"/>
                <w:color w:val="000000"/>
                <w:sz w:val="16"/>
                <w:szCs w:val="16"/>
              </w:rPr>
              <w:t>25)</w:t>
            </w:r>
          </w:p>
          <w:p w14:paraId="066FF19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rPr>
            </w:pPr>
          </w:p>
        </w:tc>
        <w:tc>
          <w:tcPr>
            <w:tcW w:w="1134" w:type="dxa"/>
          </w:tcPr>
          <w:p w14:paraId="0F94C7E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+ООО</w:t>
            </w:r>
          </w:p>
          <w:p w14:paraId="59C51D9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7"/>
                <w:szCs w:val="17"/>
                <w:lang w:val="uk-UA"/>
              </w:rPr>
              <w:t>Дуже низька</w:t>
            </w:r>
          </w:p>
        </w:tc>
        <w:tc>
          <w:tcPr>
            <w:tcW w:w="1701" w:type="dxa"/>
          </w:tcPr>
          <w:p w14:paraId="7A0DFB2E" w14:textId="18D83F9F" w:rsidR="00CB2D02" w:rsidRPr="00E221F6" w:rsidRDefault="00F238E3" w:rsidP="00CB2D02">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bl>
    <w:p w14:paraId="50151A91" w14:textId="13551307" w:rsidR="00E568A1" w:rsidRPr="009069BE" w:rsidRDefault="00E568A1" w:rsidP="004C1D9D">
      <w:pPr>
        <w:pBdr>
          <w:left w:val="single" w:sz="4" w:space="4" w:color="auto"/>
          <w:right w:val="single" w:sz="4" w:space="4" w:color="auto"/>
        </w:pBdr>
        <w:shd w:val="clear" w:color="auto" w:fill="F2ACB1"/>
        <w:autoSpaceDE w:val="0"/>
        <w:autoSpaceDN w:val="0"/>
        <w:adjustRightInd w:val="0"/>
        <w:spacing w:after="0" w:line="240" w:lineRule="auto"/>
        <w:jc w:val="both"/>
        <w:rPr>
          <w:rFonts w:ascii="Arial" w:hAnsi="Arial" w:cs="Arial"/>
          <w:b/>
          <w:i/>
          <w:color w:val="000000"/>
          <w:sz w:val="17"/>
          <w:szCs w:val="17"/>
          <w:lang w:val="uk-UA"/>
        </w:rPr>
      </w:pPr>
      <w:r w:rsidRPr="00FB49A6">
        <w:rPr>
          <w:rFonts w:ascii="Arial" w:hAnsi="Arial" w:cs="Arial"/>
          <w:b/>
          <w:i/>
          <w:color w:val="000000"/>
          <w:sz w:val="17"/>
          <w:szCs w:val="17"/>
          <w:lang w:val="uk-UA"/>
        </w:rPr>
        <w:t xml:space="preserve">Смертність до </w:t>
      </w:r>
      <w:r w:rsidR="00447616">
        <w:rPr>
          <w:rFonts w:ascii="Arial" w:hAnsi="Arial" w:cs="Arial"/>
          <w:b/>
          <w:i/>
          <w:color w:val="000000"/>
          <w:sz w:val="17"/>
          <w:szCs w:val="17"/>
          <w:lang w:val="uk-UA"/>
        </w:rPr>
        <w:t xml:space="preserve">закінчення дослідження - </w:t>
      </w:r>
      <w:r w:rsidRPr="00FB49A6">
        <w:rPr>
          <w:rFonts w:ascii="Arial" w:hAnsi="Arial" w:cs="Arial"/>
          <w:b/>
          <w:i/>
          <w:color w:val="000000"/>
          <w:sz w:val="17"/>
          <w:szCs w:val="17"/>
          <w:lang w:val="uk-UA"/>
        </w:rPr>
        <w:t xml:space="preserve">120 тижнів (C208, </w:t>
      </w:r>
      <w:r w:rsidR="00157A7D">
        <w:rPr>
          <w:rFonts w:ascii="Arial" w:hAnsi="Arial" w:cs="Arial"/>
          <w:b/>
          <w:i/>
          <w:color w:val="000000"/>
          <w:sz w:val="17"/>
          <w:szCs w:val="17"/>
          <w:lang w:val="uk-UA"/>
        </w:rPr>
        <w:t>2-й етап: ІТТ) (зареєстровані смертельні  випадки</w:t>
      </w:r>
      <w:r w:rsidRPr="00FB49A6">
        <w:rPr>
          <w:rFonts w:ascii="Arial" w:hAnsi="Arial" w:cs="Arial"/>
          <w:b/>
          <w:i/>
          <w:color w:val="000000"/>
          <w:sz w:val="17"/>
          <w:szCs w:val="17"/>
          <w:lang w:val="uk-UA"/>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1068"/>
        <w:gridCol w:w="1069"/>
        <w:gridCol w:w="1068"/>
        <w:gridCol w:w="1069"/>
        <w:gridCol w:w="1068"/>
        <w:gridCol w:w="1069"/>
        <w:gridCol w:w="1205"/>
        <w:gridCol w:w="1205"/>
        <w:gridCol w:w="1205"/>
        <w:gridCol w:w="1205"/>
        <w:gridCol w:w="1134"/>
        <w:gridCol w:w="1701"/>
      </w:tblGrid>
      <w:tr w:rsidR="00CB2D02" w:rsidRPr="009069BE" w14:paraId="5738E178" w14:textId="77777777" w:rsidTr="00E221F6">
        <w:trPr>
          <w:trHeight w:val="855"/>
        </w:trPr>
        <w:tc>
          <w:tcPr>
            <w:tcW w:w="1068" w:type="dxa"/>
          </w:tcPr>
          <w:p w14:paraId="54A90BA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 xml:space="preserve">1 </w:t>
            </w:r>
            <w:r w:rsidRPr="00E221F6">
              <w:rPr>
                <w:rFonts w:ascii="Arial" w:hAnsi="Arial" w:cs="Arial"/>
                <w:color w:val="000000"/>
                <w:sz w:val="18"/>
                <w:szCs w:val="18"/>
                <w:vertAlign w:val="superscript"/>
                <w:lang w:val="en-US"/>
              </w:rPr>
              <w:t>11</w:t>
            </w:r>
            <w:r w:rsidRPr="00E221F6">
              <w:rPr>
                <w:rFonts w:ascii="Arial" w:hAnsi="Arial" w:cs="Arial"/>
                <w:color w:val="000000"/>
                <w:sz w:val="18"/>
                <w:szCs w:val="18"/>
                <w:vertAlign w:val="superscript"/>
                <w:lang w:val="uk-UA"/>
              </w:rPr>
              <w:t>/</w:t>
            </w:r>
          </w:p>
        </w:tc>
        <w:tc>
          <w:tcPr>
            <w:tcW w:w="1068" w:type="dxa"/>
          </w:tcPr>
          <w:p w14:paraId="74321EB3" w14:textId="3DA005F4" w:rsidR="00CB2D02" w:rsidRPr="00E221F6"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Pr>
                <w:rFonts w:ascii="Arial" w:hAnsi="Arial" w:cs="Arial"/>
                <w:color w:val="000000"/>
                <w:sz w:val="16"/>
                <w:szCs w:val="16"/>
                <w:lang w:val="uk-UA"/>
              </w:rPr>
              <w:t>дослідження</w:t>
            </w:r>
          </w:p>
        </w:tc>
        <w:tc>
          <w:tcPr>
            <w:tcW w:w="1069" w:type="dxa"/>
          </w:tcPr>
          <w:p w14:paraId="41D0A8F8" w14:textId="484995F4" w:rsidR="00CB2D02" w:rsidRPr="00CB2D02"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CB2D02">
              <w:rPr>
                <w:rFonts w:ascii="Arial" w:hAnsi="Arial" w:cs="Arial"/>
                <w:color w:val="000000"/>
                <w:sz w:val="16"/>
                <w:szCs w:val="16"/>
              </w:rPr>
              <w:t>немає серйозного ризику сис</w:t>
            </w:r>
            <w:r>
              <w:rPr>
                <w:rFonts w:ascii="Arial" w:hAnsi="Arial" w:cs="Arial"/>
                <w:color w:val="000000"/>
                <w:sz w:val="16"/>
                <w:szCs w:val="16"/>
                <w:lang w:val="uk-UA"/>
              </w:rPr>
              <w:t>-</w:t>
            </w:r>
            <w:r>
              <w:rPr>
                <w:rFonts w:ascii="Arial" w:hAnsi="Arial" w:cs="Arial"/>
                <w:color w:val="000000"/>
                <w:sz w:val="16"/>
                <w:szCs w:val="16"/>
              </w:rPr>
              <w:t>темн</w:t>
            </w:r>
            <w:r w:rsidRPr="00CB2D02">
              <w:rPr>
                <w:rFonts w:ascii="Arial" w:hAnsi="Arial" w:cs="Arial"/>
                <w:color w:val="000000"/>
                <w:sz w:val="16"/>
                <w:szCs w:val="16"/>
              </w:rPr>
              <w:t>ої помилки</w:t>
            </w:r>
          </w:p>
        </w:tc>
        <w:tc>
          <w:tcPr>
            <w:tcW w:w="1068" w:type="dxa"/>
          </w:tcPr>
          <w:p w14:paraId="7CEF1A5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Pr>
                <w:rFonts w:ascii="Arial" w:hAnsi="Arial" w:cs="Arial"/>
                <w:color w:val="000000"/>
                <w:sz w:val="16"/>
                <w:szCs w:val="16"/>
                <w:lang w:val="uk-UA"/>
              </w:rPr>
              <w:t>неузго-дженості</w:t>
            </w:r>
          </w:p>
        </w:tc>
        <w:tc>
          <w:tcPr>
            <w:tcW w:w="1069" w:type="dxa"/>
          </w:tcPr>
          <w:p w14:paraId="7BD188AA"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серйозна</w:t>
            </w:r>
            <w:r w:rsidRPr="00E221F6">
              <w:rPr>
                <w:rFonts w:ascii="Arial" w:hAnsi="Arial" w:cs="Arial"/>
                <w:color w:val="000000"/>
                <w:sz w:val="18"/>
                <w:szCs w:val="18"/>
                <w:vertAlign w:val="superscript"/>
                <w:lang w:val="en-US"/>
              </w:rPr>
              <w:t>12</w:t>
            </w:r>
          </w:p>
        </w:tc>
        <w:tc>
          <w:tcPr>
            <w:tcW w:w="1068" w:type="dxa"/>
          </w:tcPr>
          <w:p w14:paraId="3074C9A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 xml:space="preserve">дуже серйозна </w:t>
            </w:r>
            <w:r w:rsidRPr="00E221F6">
              <w:rPr>
                <w:rFonts w:ascii="Arial" w:hAnsi="Arial" w:cs="Arial"/>
                <w:color w:val="000000"/>
                <w:sz w:val="18"/>
                <w:szCs w:val="18"/>
                <w:vertAlign w:val="superscript"/>
                <w:lang w:val="en-US"/>
              </w:rPr>
              <w:t>3</w:t>
            </w:r>
          </w:p>
        </w:tc>
        <w:tc>
          <w:tcPr>
            <w:tcW w:w="1069" w:type="dxa"/>
          </w:tcPr>
          <w:p w14:paraId="0B6A1605"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немає</w:t>
            </w:r>
          </w:p>
        </w:tc>
        <w:tc>
          <w:tcPr>
            <w:tcW w:w="1205" w:type="dxa"/>
          </w:tcPr>
          <w:p w14:paraId="7FDB7051"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9/</w:t>
            </w:r>
            <w:r w:rsidRPr="00E221F6">
              <w:rPr>
                <w:rFonts w:ascii="Arial" w:hAnsi="Arial" w:cs="Arial"/>
                <w:color w:val="000000"/>
                <w:sz w:val="17"/>
                <w:szCs w:val="17"/>
                <w:lang w:val="en-US"/>
              </w:rPr>
              <w:t>79</w:t>
            </w:r>
            <w:r w:rsidRPr="00E221F6">
              <w:rPr>
                <w:rFonts w:ascii="Arial" w:hAnsi="Arial" w:cs="Arial"/>
                <w:color w:val="000000"/>
                <w:sz w:val="17"/>
                <w:szCs w:val="17"/>
                <w:lang w:val="uk-UA"/>
              </w:rPr>
              <w:t xml:space="preserve"> </w:t>
            </w:r>
            <w:r w:rsidRPr="00E221F6">
              <w:rPr>
                <w:rFonts w:ascii="Arial" w:hAnsi="Arial" w:cs="Arial"/>
                <w:color w:val="000000"/>
                <w:sz w:val="17"/>
                <w:szCs w:val="17"/>
                <w:vertAlign w:val="superscript"/>
                <w:lang w:val="uk-UA"/>
              </w:rPr>
              <w:t>11</w:t>
            </w:r>
          </w:p>
          <w:p w14:paraId="2070BD9A"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(12.7%)</w:t>
            </w:r>
          </w:p>
        </w:tc>
        <w:tc>
          <w:tcPr>
            <w:tcW w:w="1205" w:type="dxa"/>
          </w:tcPr>
          <w:p w14:paraId="20267F42" w14:textId="77777777" w:rsidR="00CB2D02" w:rsidRPr="00E221F6" w:rsidRDefault="00CB2D02" w:rsidP="00CB2D02">
            <w:pPr>
              <w:autoSpaceDE w:val="0"/>
              <w:autoSpaceDN w:val="0"/>
              <w:adjustRightInd w:val="0"/>
              <w:spacing w:after="0" w:line="240" w:lineRule="auto"/>
              <w:jc w:val="both"/>
              <w:rPr>
                <w:rFonts w:ascii="Times New Roman" w:hAnsi="Times New Roman" w:cs="Arial"/>
                <w:color w:val="000000"/>
                <w:sz w:val="17"/>
                <w:szCs w:val="17"/>
                <w:vertAlign w:val="superscript"/>
                <w:lang w:val="en-US"/>
              </w:rPr>
            </w:pPr>
            <w:r w:rsidRPr="00E221F6">
              <w:rPr>
                <w:rFonts w:ascii="Arial" w:hAnsi="Arial" w:cs="Arial"/>
                <w:color w:val="000000"/>
                <w:sz w:val="17"/>
                <w:szCs w:val="17"/>
                <w:lang w:val="en-US"/>
              </w:rPr>
              <w:t>1/81</w:t>
            </w:r>
            <w:r w:rsidRPr="00E221F6">
              <w:rPr>
                <w:rFonts w:ascii="Times New Roman" w:hAnsi="Times New Roman" w:cs="Arial"/>
                <w:color w:val="000000"/>
                <w:sz w:val="17"/>
                <w:szCs w:val="17"/>
                <w:vertAlign w:val="superscript"/>
                <w:lang w:val="en-US"/>
              </w:rPr>
              <w:t>11</w:t>
            </w:r>
          </w:p>
          <w:p w14:paraId="7FECD74C"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en-US"/>
              </w:rPr>
              <w:t>(2.5%)</w:t>
            </w:r>
          </w:p>
          <w:p w14:paraId="3C0C740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44CBD5EF"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rPr>
            </w:pPr>
            <w:r w:rsidRPr="00E221F6">
              <w:rPr>
                <w:rFonts w:ascii="Arial" w:hAnsi="Arial" w:cs="Arial"/>
                <w:color w:val="000000"/>
                <w:sz w:val="17"/>
                <w:szCs w:val="17"/>
                <w:lang w:val="en-US"/>
              </w:rPr>
              <w:t>RR</w:t>
            </w:r>
            <w:r w:rsidRPr="00E221F6">
              <w:rPr>
                <w:rFonts w:ascii="Arial" w:hAnsi="Arial" w:cs="Arial"/>
                <w:color w:val="000000"/>
                <w:sz w:val="17"/>
                <w:szCs w:val="17"/>
              </w:rPr>
              <w:t xml:space="preserve"> 9.</w:t>
            </w:r>
            <w:r w:rsidRPr="00E221F6">
              <w:rPr>
                <w:rFonts w:ascii="Arial" w:hAnsi="Arial" w:cs="Arial"/>
                <w:color w:val="000000"/>
                <w:sz w:val="17"/>
                <w:szCs w:val="17"/>
                <w:lang w:val="en-US"/>
              </w:rPr>
              <w:t>23</w:t>
            </w:r>
            <w:r w:rsidRPr="00E221F6">
              <w:rPr>
                <w:rFonts w:ascii="Arial" w:hAnsi="Arial" w:cs="Arial"/>
                <w:color w:val="000000"/>
                <w:sz w:val="17"/>
                <w:szCs w:val="17"/>
              </w:rPr>
              <w:t xml:space="preserve"> </w:t>
            </w:r>
          </w:p>
          <w:p w14:paraId="5ADAFDCD"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rPr>
              <w:t>(1.</w:t>
            </w:r>
            <w:r w:rsidRPr="00E221F6">
              <w:rPr>
                <w:rFonts w:ascii="Arial" w:hAnsi="Arial" w:cs="Arial"/>
                <w:color w:val="000000"/>
                <w:sz w:val="17"/>
                <w:szCs w:val="17"/>
                <w:lang w:val="en-US"/>
              </w:rPr>
              <w:t>20</w:t>
            </w:r>
          </w:p>
          <w:p w14:paraId="1E47825B"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vertAlign w:val="superscript"/>
                <w:lang w:val="en-US"/>
              </w:rPr>
            </w:pPr>
            <w:r w:rsidRPr="00E221F6">
              <w:rPr>
                <w:rFonts w:ascii="Arial" w:hAnsi="Arial" w:cs="Arial"/>
                <w:color w:val="000000"/>
                <w:sz w:val="17"/>
                <w:szCs w:val="17"/>
              </w:rPr>
              <w:t>до 72.95)</w:t>
            </w:r>
            <w:r w:rsidRPr="00E221F6">
              <w:rPr>
                <w:rFonts w:ascii="Arial" w:hAnsi="Arial" w:cs="Arial"/>
                <w:color w:val="000000"/>
                <w:sz w:val="17"/>
                <w:szCs w:val="17"/>
                <w:vertAlign w:val="superscript"/>
                <w:lang w:val="en-US"/>
              </w:rPr>
              <w:t>13,14</w:t>
            </w:r>
          </w:p>
          <w:p w14:paraId="3860B19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tc>
        <w:tc>
          <w:tcPr>
            <w:tcW w:w="1205" w:type="dxa"/>
          </w:tcPr>
          <w:p w14:paraId="70895068"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rPr>
            </w:pPr>
            <w:r w:rsidRPr="00E221F6">
              <w:rPr>
                <w:rFonts w:ascii="Arial" w:hAnsi="Arial" w:cs="Arial"/>
                <w:color w:val="000000"/>
                <w:sz w:val="16"/>
                <w:szCs w:val="16"/>
                <w:lang w:val="uk-UA"/>
              </w:rPr>
              <w:t xml:space="preserve">більше на </w:t>
            </w:r>
            <w:r w:rsidRPr="00E221F6">
              <w:rPr>
                <w:rFonts w:ascii="Arial" w:hAnsi="Arial" w:cs="Arial"/>
                <w:color w:val="000000"/>
                <w:sz w:val="16"/>
                <w:szCs w:val="16"/>
              </w:rPr>
              <w:t xml:space="preserve">10 </w:t>
            </w:r>
            <w:r w:rsidRPr="00E221F6">
              <w:rPr>
                <w:rFonts w:ascii="Arial" w:hAnsi="Arial" w:cs="Arial"/>
                <w:color w:val="000000"/>
                <w:sz w:val="16"/>
                <w:szCs w:val="16"/>
                <w:lang w:val="uk-UA"/>
              </w:rPr>
              <w:t xml:space="preserve">на </w:t>
            </w:r>
            <w:r w:rsidRPr="00E221F6">
              <w:rPr>
                <w:rFonts w:ascii="Arial" w:hAnsi="Arial" w:cs="Arial"/>
                <w:color w:val="000000"/>
                <w:sz w:val="16"/>
                <w:szCs w:val="16"/>
              </w:rPr>
              <w:t>100</w:t>
            </w:r>
          </w:p>
          <w:p w14:paraId="5EDE9739" w14:textId="77777777" w:rsidR="00CB2D02" w:rsidRPr="00203408"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rPr>
              <w:t>(</w:t>
            </w:r>
            <w:r>
              <w:rPr>
                <w:rFonts w:ascii="Arial" w:hAnsi="Arial" w:cs="Arial"/>
                <w:color w:val="000000"/>
                <w:sz w:val="16"/>
                <w:szCs w:val="16"/>
                <w:lang w:val="uk-UA"/>
              </w:rPr>
              <w:t>збільшення</w:t>
            </w:r>
            <w:r w:rsidRPr="00E221F6">
              <w:rPr>
                <w:rFonts w:ascii="Arial" w:hAnsi="Arial" w:cs="Arial"/>
                <w:color w:val="000000"/>
                <w:sz w:val="16"/>
                <w:szCs w:val="16"/>
                <w:lang w:val="uk-UA"/>
              </w:rPr>
              <w:t xml:space="preserve">від </w:t>
            </w:r>
            <w:r w:rsidRPr="00E221F6">
              <w:rPr>
                <w:rFonts w:ascii="Arial" w:hAnsi="Arial" w:cs="Arial"/>
                <w:color w:val="000000"/>
                <w:sz w:val="16"/>
                <w:szCs w:val="16"/>
              </w:rPr>
              <w:t xml:space="preserve">0 </w:t>
            </w:r>
            <w:r>
              <w:rPr>
                <w:rFonts w:ascii="Arial" w:hAnsi="Arial" w:cs="Arial"/>
                <w:color w:val="000000"/>
                <w:sz w:val="16"/>
                <w:szCs w:val="16"/>
                <w:lang w:val="uk-UA"/>
              </w:rPr>
              <w:t xml:space="preserve">до </w:t>
            </w:r>
            <w:r w:rsidRPr="00E221F6">
              <w:rPr>
                <w:rFonts w:ascii="Arial" w:hAnsi="Arial" w:cs="Arial"/>
                <w:color w:val="000000"/>
                <w:sz w:val="16"/>
                <w:szCs w:val="16"/>
              </w:rPr>
              <w:t>53)</w:t>
            </w:r>
          </w:p>
          <w:p w14:paraId="1C5C3FD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rPr>
            </w:pPr>
          </w:p>
        </w:tc>
        <w:tc>
          <w:tcPr>
            <w:tcW w:w="1134" w:type="dxa"/>
          </w:tcPr>
          <w:p w14:paraId="1A0A2F0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+ООО</w:t>
            </w:r>
          </w:p>
          <w:p w14:paraId="13BA755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7"/>
                <w:szCs w:val="17"/>
                <w:lang w:val="uk-UA"/>
              </w:rPr>
              <w:t>Дуже низька</w:t>
            </w:r>
          </w:p>
        </w:tc>
        <w:tc>
          <w:tcPr>
            <w:tcW w:w="1701" w:type="dxa"/>
          </w:tcPr>
          <w:p w14:paraId="73351A25" w14:textId="0FD093E2" w:rsidR="00CB2D02" w:rsidRPr="00E221F6" w:rsidRDefault="00F238E3" w:rsidP="00CB2D02">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r w:rsidR="00CB2D02" w:rsidRPr="007C46E5" w14:paraId="6488DD67" w14:textId="77777777" w:rsidTr="004C1D9D">
        <w:tblPrEx>
          <w:tblBorders>
            <w:top w:val="none" w:sz="0" w:space="0" w:color="auto"/>
            <w:bottom w:val="none" w:sz="0" w:space="0" w:color="auto"/>
            <w:insideH w:val="none" w:sz="0" w:space="0" w:color="auto"/>
            <w:insideV w:val="none" w:sz="0" w:space="0" w:color="auto"/>
          </w:tblBorders>
        </w:tblPrEx>
        <w:tc>
          <w:tcPr>
            <w:tcW w:w="15134" w:type="dxa"/>
            <w:gridSpan w:val="13"/>
            <w:shd w:val="clear" w:color="auto" w:fill="F2ACB1"/>
            <w:vAlign w:val="center"/>
          </w:tcPr>
          <w:p w14:paraId="3C2EA551" w14:textId="79CA16CB" w:rsidR="00CB2D02" w:rsidRPr="00A81BDF" w:rsidRDefault="00CB2D02" w:rsidP="001342C3">
            <w:pPr>
              <w:autoSpaceDE w:val="0"/>
              <w:autoSpaceDN w:val="0"/>
              <w:adjustRightInd w:val="0"/>
              <w:spacing w:after="0" w:line="240" w:lineRule="auto"/>
              <w:rPr>
                <w:rFonts w:ascii="Arial" w:hAnsi="Arial" w:cs="Arial"/>
                <w:b/>
                <w:i/>
                <w:color w:val="000000"/>
                <w:sz w:val="8"/>
                <w:szCs w:val="8"/>
              </w:rPr>
            </w:pPr>
            <w:r w:rsidRPr="00A81BDF">
              <w:rPr>
                <w:rFonts w:ascii="Arial" w:hAnsi="Arial" w:cs="Arial"/>
                <w:b/>
                <w:i/>
                <w:color w:val="000000"/>
                <w:sz w:val="17"/>
                <w:szCs w:val="17"/>
              </w:rPr>
              <w:t>Час конверсії протягом більше 24 тижнів (</w:t>
            </w:r>
            <w:r w:rsidRPr="00E221F6">
              <w:rPr>
                <w:rFonts w:ascii="Arial" w:hAnsi="Arial" w:cs="Arial"/>
                <w:b/>
                <w:i/>
                <w:color w:val="000000"/>
                <w:sz w:val="17"/>
                <w:szCs w:val="17"/>
                <w:lang w:val="en-US"/>
              </w:rPr>
              <w:t>C</w:t>
            </w:r>
            <w:r w:rsidRPr="00A81BDF">
              <w:rPr>
                <w:rFonts w:ascii="Arial" w:hAnsi="Arial" w:cs="Arial"/>
                <w:b/>
                <w:i/>
                <w:color w:val="000000"/>
                <w:sz w:val="17"/>
                <w:szCs w:val="17"/>
              </w:rPr>
              <w:t xml:space="preserve">208 Етап 2: </w:t>
            </w:r>
            <w:r w:rsidRPr="00E221F6">
              <w:rPr>
                <w:rFonts w:ascii="Arial" w:hAnsi="Arial" w:cs="Arial"/>
                <w:b/>
                <w:i/>
                <w:color w:val="000000"/>
                <w:sz w:val="17"/>
                <w:szCs w:val="17"/>
                <w:lang w:val="en-US"/>
              </w:rPr>
              <w:t>mITT</w:t>
            </w:r>
            <w:r w:rsidR="006625B3">
              <w:rPr>
                <w:rFonts w:ascii="Arial" w:hAnsi="Arial" w:cs="Arial"/>
                <w:b/>
                <w:i/>
                <w:color w:val="000000"/>
                <w:sz w:val="17"/>
                <w:szCs w:val="17"/>
              </w:rPr>
              <w:t>1) (відповідно</w:t>
            </w:r>
            <w:r w:rsidRPr="00A81BDF">
              <w:rPr>
                <w:rFonts w:ascii="Arial" w:hAnsi="Arial" w:cs="Arial"/>
                <w:b/>
                <w:i/>
                <w:color w:val="000000"/>
                <w:sz w:val="17"/>
                <w:szCs w:val="17"/>
              </w:rPr>
              <w:t xml:space="preserve"> </w:t>
            </w:r>
            <w:r w:rsidR="006625B3">
              <w:rPr>
                <w:rFonts w:ascii="Arial" w:hAnsi="Arial" w:cs="Arial"/>
                <w:b/>
                <w:i/>
                <w:color w:val="000000"/>
                <w:sz w:val="17"/>
                <w:szCs w:val="17"/>
              </w:rPr>
              <w:t>мікробіологічних цільових</w:t>
            </w:r>
            <w:r w:rsidR="006625B3" w:rsidRPr="006625B3">
              <w:rPr>
                <w:rFonts w:ascii="Arial" w:hAnsi="Arial" w:cs="Arial"/>
                <w:b/>
                <w:i/>
                <w:color w:val="000000"/>
                <w:sz w:val="17"/>
                <w:szCs w:val="17"/>
              </w:rPr>
              <w:t xml:space="preserve"> показник</w:t>
            </w:r>
            <w:r w:rsidR="006625B3">
              <w:rPr>
                <w:rFonts w:ascii="Arial" w:hAnsi="Arial" w:cs="Arial"/>
                <w:b/>
                <w:i/>
                <w:color w:val="000000"/>
                <w:sz w:val="17"/>
                <w:szCs w:val="17"/>
              </w:rPr>
              <w:t>ів</w:t>
            </w:r>
            <w:r w:rsidR="006625B3" w:rsidRPr="006625B3">
              <w:rPr>
                <w:rFonts w:ascii="Arial" w:hAnsi="Arial" w:cs="Arial"/>
                <w:b/>
                <w:i/>
                <w:color w:val="000000"/>
                <w:sz w:val="17"/>
                <w:szCs w:val="17"/>
              </w:rPr>
              <w:t xml:space="preserve"> ефективності </w:t>
            </w:r>
            <w:r w:rsidRPr="00A81BDF">
              <w:rPr>
                <w:rFonts w:ascii="Arial" w:hAnsi="Arial" w:cs="Arial"/>
                <w:b/>
                <w:i/>
                <w:color w:val="000000"/>
                <w:sz w:val="17"/>
                <w:szCs w:val="17"/>
              </w:rPr>
              <w:t xml:space="preserve">- </w:t>
            </w:r>
            <w:r w:rsidRPr="00E221F6">
              <w:rPr>
                <w:rFonts w:ascii="Arial" w:hAnsi="Arial" w:cs="Arial"/>
                <w:b/>
                <w:i/>
                <w:color w:val="000000"/>
                <w:sz w:val="17"/>
                <w:szCs w:val="17"/>
                <w:lang w:val="en-US"/>
              </w:rPr>
              <w:t>MGIT</w:t>
            </w:r>
            <w:r w:rsidRPr="00A81BDF">
              <w:rPr>
                <w:rFonts w:ascii="Arial" w:hAnsi="Arial" w:cs="Arial"/>
                <w:b/>
                <w:i/>
                <w:color w:val="000000"/>
                <w:sz w:val="17"/>
                <w:szCs w:val="17"/>
              </w:rPr>
              <w:t>960)</w:t>
            </w:r>
          </w:p>
        </w:tc>
      </w:tr>
      <w:tr w:rsidR="00CB2D02" w:rsidRPr="009069BE" w14:paraId="66360C23" w14:textId="77777777" w:rsidTr="001342C3">
        <w:trPr>
          <w:trHeight w:val="969"/>
        </w:trPr>
        <w:tc>
          <w:tcPr>
            <w:tcW w:w="1068" w:type="dxa"/>
          </w:tcPr>
          <w:p w14:paraId="71A2B578"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 xml:space="preserve">1 </w:t>
            </w:r>
            <w:r w:rsidRPr="00E221F6">
              <w:rPr>
                <w:rFonts w:ascii="Arial" w:hAnsi="Arial" w:cs="Arial"/>
                <w:color w:val="000000"/>
                <w:sz w:val="18"/>
                <w:szCs w:val="18"/>
                <w:vertAlign w:val="superscript"/>
                <w:lang w:val="en-US"/>
              </w:rPr>
              <w:t>15</w:t>
            </w:r>
          </w:p>
        </w:tc>
        <w:tc>
          <w:tcPr>
            <w:tcW w:w="1068" w:type="dxa"/>
          </w:tcPr>
          <w:p w14:paraId="0A18C2DE" w14:textId="7EC1037E" w:rsidR="00CB2D02" w:rsidRPr="00E221F6"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Pr>
                <w:rFonts w:ascii="Arial" w:hAnsi="Arial" w:cs="Arial"/>
                <w:color w:val="000000"/>
                <w:sz w:val="16"/>
                <w:szCs w:val="16"/>
                <w:lang w:val="uk-UA"/>
              </w:rPr>
              <w:t>дослідження</w:t>
            </w:r>
          </w:p>
        </w:tc>
        <w:tc>
          <w:tcPr>
            <w:tcW w:w="1069" w:type="dxa"/>
          </w:tcPr>
          <w:p w14:paraId="72F8854E" w14:textId="114B02B9" w:rsidR="00CB2D02" w:rsidRPr="00E221F6" w:rsidRDefault="00447616" w:rsidP="00CB2D02">
            <w:pPr>
              <w:autoSpaceDE w:val="0"/>
              <w:autoSpaceDN w:val="0"/>
              <w:adjustRightInd w:val="0"/>
              <w:spacing w:after="0" w:line="240" w:lineRule="auto"/>
              <w:jc w:val="both"/>
              <w:rPr>
                <w:rFonts w:ascii="Arial" w:hAnsi="Arial" w:cs="Arial"/>
                <w:color w:val="000000"/>
                <w:sz w:val="16"/>
                <w:szCs w:val="16"/>
                <w:vertAlign w:val="superscript"/>
                <w:lang w:val="uk-UA"/>
              </w:rPr>
            </w:pPr>
            <w:r w:rsidRPr="00CB2D02">
              <w:rPr>
                <w:rFonts w:ascii="Arial" w:hAnsi="Arial" w:cs="Arial"/>
                <w:color w:val="000000"/>
                <w:sz w:val="16"/>
                <w:szCs w:val="16"/>
              </w:rPr>
              <w:t>немає серйозного ризику сис</w:t>
            </w:r>
            <w:r>
              <w:rPr>
                <w:rFonts w:ascii="Arial" w:hAnsi="Arial" w:cs="Arial"/>
                <w:color w:val="000000"/>
                <w:sz w:val="16"/>
                <w:szCs w:val="16"/>
                <w:lang w:val="uk-UA"/>
              </w:rPr>
              <w:t>-</w:t>
            </w:r>
            <w:r>
              <w:rPr>
                <w:rFonts w:ascii="Arial" w:hAnsi="Arial" w:cs="Arial"/>
                <w:color w:val="000000"/>
                <w:sz w:val="16"/>
                <w:szCs w:val="16"/>
              </w:rPr>
              <w:t>темн</w:t>
            </w:r>
            <w:r w:rsidRPr="00CB2D02">
              <w:rPr>
                <w:rFonts w:ascii="Arial" w:hAnsi="Arial" w:cs="Arial"/>
                <w:color w:val="000000"/>
                <w:sz w:val="16"/>
                <w:szCs w:val="16"/>
              </w:rPr>
              <w:t>ої помилки</w:t>
            </w:r>
          </w:p>
        </w:tc>
        <w:tc>
          <w:tcPr>
            <w:tcW w:w="1068" w:type="dxa"/>
          </w:tcPr>
          <w:p w14:paraId="431EE63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Pr>
                <w:rFonts w:ascii="Arial" w:hAnsi="Arial" w:cs="Arial"/>
                <w:color w:val="000000"/>
                <w:sz w:val="16"/>
                <w:szCs w:val="16"/>
                <w:lang w:val="uk-UA"/>
              </w:rPr>
              <w:t>неузго-дженості</w:t>
            </w:r>
          </w:p>
        </w:tc>
        <w:tc>
          <w:tcPr>
            <w:tcW w:w="1069" w:type="dxa"/>
          </w:tcPr>
          <w:p w14:paraId="1371AC2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серйозна</w:t>
            </w:r>
            <w:r w:rsidRPr="00E221F6">
              <w:rPr>
                <w:rFonts w:ascii="Arial" w:hAnsi="Arial" w:cs="Arial"/>
                <w:color w:val="000000"/>
                <w:sz w:val="18"/>
                <w:szCs w:val="18"/>
                <w:vertAlign w:val="superscript"/>
                <w:lang w:val="en-US"/>
              </w:rPr>
              <w:t>16</w:t>
            </w:r>
          </w:p>
        </w:tc>
        <w:tc>
          <w:tcPr>
            <w:tcW w:w="1068" w:type="dxa"/>
          </w:tcPr>
          <w:p w14:paraId="0AE669E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6"/>
                <w:szCs w:val="16"/>
                <w:lang w:val="uk-UA"/>
              </w:rPr>
              <w:t>серйозна</w:t>
            </w:r>
            <w:r w:rsidRPr="00E221F6">
              <w:rPr>
                <w:rFonts w:ascii="Arial" w:hAnsi="Arial" w:cs="Arial"/>
                <w:color w:val="000000"/>
                <w:sz w:val="18"/>
                <w:szCs w:val="18"/>
                <w:vertAlign w:val="superscript"/>
                <w:lang w:val="en-US"/>
              </w:rPr>
              <w:t xml:space="preserve"> </w:t>
            </w:r>
            <w:r w:rsidRPr="00E221F6">
              <w:rPr>
                <w:rFonts w:ascii="Arial" w:hAnsi="Arial" w:cs="Arial"/>
                <w:color w:val="000000"/>
                <w:sz w:val="18"/>
                <w:szCs w:val="18"/>
                <w:vertAlign w:val="superscript"/>
                <w:lang w:val="uk-UA"/>
              </w:rPr>
              <w:t>5</w:t>
            </w:r>
          </w:p>
        </w:tc>
        <w:tc>
          <w:tcPr>
            <w:tcW w:w="1069" w:type="dxa"/>
          </w:tcPr>
          <w:p w14:paraId="44788D1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немає</w:t>
            </w:r>
          </w:p>
        </w:tc>
        <w:tc>
          <w:tcPr>
            <w:tcW w:w="1205" w:type="dxa"/>
          </w:tcPr>
          <w:p w14:paraId="5FC8A515" w14:textId="3E8B4ED4"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кількіст</w:t>
            </w:r>
            <w:r w:rsidR="00B21F5A">
              <w:rPr>
                <w:rFonts w:ascii="Arial" w:hAnsi="Arial" w:cs="Arial"/>
                <w:color w:val="000000"/>
                <w:sz w:val="17"/>
                <w:szCs w:val="17"/>
                <w:lang w:val="uk-UA"/>
              </w:rPr>
              <w:t>ь</w:t>
            </w:r>
            <w:r w:rsidRPr="00E221F6">
              <w:rPr>
                <w:rFonts w:ascii="Arial" w:hAnsi="Arial" w:cs="Arial"/>
                <w:color w:val="000000"/>
                <w:sz w:val="17"/>
                <w:szCs w:val="17"/>
                <w:lang w:val="uk-UA"/>
              </w:rPr>
              <w:t xml:space="preserve">= 66 </w:t>
            </w:r>
            <w:r w:rsidRPr="00E221F6">
              <w:rPr>
                <w:rFonts w:ascii="Arial" w:hAnsi="Arial" w:cs="Arial"/>
                <w:color w:val="000000"/>
                <w:sz w:val="17"/>
                <w:szCs w:val="17"/>
                <w:vertAlign w:val="superscript"/>
                <w:lang w:val="uk-UA"/>
              </w:rPr>
              <w:t>1</w:t>
            </w:r>
          </w:p>
          <w:p w14:paraId="2F7203A7" w14:textId="5349838A" w:rsidR="00CB2D02" w:rsidRPr="00E221F6" w:rsidRDefault="00B21F5A" w:rsidP="00CB2D02">
            <w:pPr>
              <w:autoSpaceDE w:val="0"/>
              <w:autoSpaceDN w:val="0"/>
              <w:adjustRightInd w:val="0"/>
              <w:spacing w:after="0" w:line="240" w:lineRule="auto"/>
              <w:rPr>
                <w:rFonts w:ascii="Arial" w:hAnsi="Arial" w:cs="Arial"/>
                <w:color w:val="000000"/>
                <w:sz w:val="17"/>
                <w:szCs w:val="17"/>
                <w:lang w:val="uk-UA"/>
              </w:rPr>
            </w:pPr>
            <w:r w:rsidRPr="00B21F5A">
              <w:rPr>
                <w:rFonts w:ascii="Arial" w:hAnsi="Arial" w:cs="Arial"/>
                <w:color w:val="000000"/>
                <w:sz w:val="17"/>
                <w:szCs w:val="17"/>
                <w:lang w:val="uk-UA"/>
              </w:rPr>
              <w:t xml:space="preserve">медіана </w:t>
            </w:r>
            <w:r w:rsidR="00CB2D02" w:rsidRPr="00E221F6">
              <w:rPr>
                <w:rFonts w:ascii="Arial" w:hAnsi="Arial" w:cs="Arial"/>
                <w:color w:val="000000"/>
                <w:sz w:val="17"/>
                <w:szCs w:val="17"/>
                <w:lang w:val="uk-UA"/>
              </w:rPr>
              <w:t>= 83 дні</w:t>
            </w:r>
          </w:p>
        </w:tc>
        <w:tc>
          <w:tcPr>
            <w:tcW w:w="1205" w:type="dxa"/>
          </w:tcPr>
          <w:p w14:paraId="4402DC29"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uk-UA"/>
              </w:rPr>
              <w:t xml:space="preserve">кількість = 66 </w:t>
            </w:r>
            <w:r w:rsidRPr="00E221F6">
              <w:rPr>
                <w:rFonts w:ascii="Arial" w:hAnsi="Arial" w:cs="Arial"/>
                <w:color w:val="000000"/>
                <w:sz w:val="17"/>
                <w:szCs w:val="17"/>
                <w:vertAlign w:val="superscript"/>
                <w:lang w:val="uk-UA"/>
              </w:rPr>
              <w:t>1</w:t>
            </w:r>
          </w:p>
          <w:p w14:paraId="3CC4D71A" w14:textId="41924F41" w:rsidR="00CB2D02" w:rsidRPr="00E221F6" w:rsidRDefault="00B21F5A" w:rsidP="00CB2D02">
            <w:pPr>
              <w:autoSpaceDE w:val="0"/>
              <w:autoSpaceDN w:val="0"/>
              <w:adjustRightInd w:val="0"/>
              <w:spacing w:after="0" w:line="240" w:lineRule="auto"/>
              <w:jc w:val="both"/>
              <w:rPr>
                <w:rFonts w:ascii="Arial" w:hAnsi="Arial" w:cs="Arial"/>
                <w:color w:val="000000"/>
                <w:sz w:val="18"/>
                <w:szCs w:val="18"/>
                <w:lang w:val="uk-UA"/>
              </w:rPr>
            </w:pPr>
            <w:r w:rsidRPr="00B21F5A">
              <w:rPr>
                <w:rFonts w:ascii="Arial" w:hAnsi="Arial" w:cs="Arial"/>
                <w:color w:val="000000"/>
                <w:sz w:val="17"/>
                <w:szCs w:val="17"/>
                <w:lang w:val="uk-UA"/>
              </w:rPr>
              <w:t>медіана</w:t>
            </w:r>
            <w:r w:rsidR="00CB2D02" w:rsidRPr="00E221F6">
              <w:rPr>
                <w:rFonts w:ascii="Arial" w:hAnsi="Arial" w:cs="Arial"/>
                <w:color w:val="000000"/>
                <w:sz w:val="17"/>
                <w:szCs w:val="17"/>
                <w:lang w:val="uk-UA"/>
              </w:rPr>
              <w:t>= 125 днів</w:t>
            </w:r>
            <w:r w:rsidR="00CB2D02" w:rsidRPr="00E221F6">
              <w:rPr>
                <w:rFonts w:ascii="Arial" w:hAnsi="Arial" w:cs="Arial"/>
                <w:color w:val="000000"/>
                <w:sz w:val="18"/>
                <w:szCs w:val="18"/>
                <w:lang w:val="uk-UA"/>
              </w:rPr>
              <w:t xml:space="preserve"> </w:t>
            </w:r>
          </w:p>
        </w:tc>
        <w:tc>
          <w:tcPr>
            <w:tcW w:w="1205" w:type="dxa"/>
          </w:tcPr>
          <w:p w14:paraId="667CE1DA" w14:textId="77777777" w:rsidR="00CB2D02" w:rsidRPr="00E221F6" w:rsidRDefault="00CB2D02" w:rsidP="00CB2D02">
            <w:pPr>
              <w:autoSpaceDE w:val="0"/>
              <w:autoSpaceDN w:val="0"/>
              <w:adjustRightInd w:val="0"/>
              <w:spacing w:after="0" w:line="240" w:lineRule="auto"/>
              <w:rPr>
                <w:rFonts w:ascii="Arial" w:hAnsi="Arial" w:cs="Arial"/>
                <w:color w:val="000000"/>
                <w:sz w:val="18"/>
                <w:szCs w:val="18"/>
                <w:lang w:val="uk-UA"/>
              </w:rPr>
            </w:pPr>
          </w:p>
        </w:tc>
        <w:tc>
          <w:tcPr>
            <w:tcW w:w="1205" w:type="dxa"/>
          </w:tcPr>
          <w:p w14:paraId="5FF14721" w14:textId="77777777" w:rsidR="00CB2D02" w:rsidRPr="00E221F6" w:rsidRDefault="00CB2D02" w:rsidP="00CB2D02">
            <w:pPr>
              <w:autoSpaceDE w:val="0"/>
              <w:autoSpaceDN w:val="0"/>
              <w:adjustRightInd w:val="0"/>
              <w:spacing w:after="0" w:line="240" w:lineRule="auto"/>
              <w:rPr>
                <w:rFonts w:ascii="Times New Roman" w:hAnsi="Times New Roman" w:cs="Arial"/>
                <w:color w:val="000000"/>
                <w:sz w:val="18"/>
                <w:szCs w:val="18"/>
                <w:vertAlign w:val="superscript"/>
                <w:lang w:val="uk-UA"/>
              </w:rPr>
            </w:pPr>
            <w:r w:rsidRPr="00E221F6">
              <w:rPr>
                <w:rFonts w:ascii="Arial" w:hAnsi="Arial" w:cs="Arial"/>
                <w:color w:val="000000"/>
                <w:sz w:val="17"/>
                <w:szCs w:val="17"/>
                <w:lang w:val="uk-UA"/>
              </w:rPr>
              <w:t>Медіана на 42 дні</w:t>
            </w:r>
            <w:r w:rsidRPr="00E221F6">
              <w:rPr>
                <w:rFonts w:ascii="Arial" w:hAnsi="Arial" w:cs="Arial"/>
                <w:color w:val="000000"/>
                <w:sz w:val="18"/>
                <w:szCs w:val="18"/>
              </w:rPr>
              <w:t xml:space="preserve"> </w:t>
            </w:r>
            <w:r w:rsidRPr="00E221F6">
              <w:rPr>
                <w:rFonts w:ascii="Arial" w:hAnsi="Arial" w:cs="Arial"/>
                <w:color w:val="000000"/>
                <w:sz w:val="18"/>
                <w:szCs w:val="18"/>
                <w:lang w:val="uk-UA"/>
              </w:rPr>
              <w:t>нижча</w:t>
            </w:r>
            <w:r w:rsidRPr="00E221F6">
              <w:rPr>
                <w:rFonts w:ascii="Times New Roman" w:hAnsi="Times New Roman" w:cs="Arial"/>
                <w:color w:val="000000"/>
                <w:sz w:val="18"/>
                <w:szCs w:val="18"/>
                <w:vertAlign w:val="superscript"/>
                <w:lang w:val="uk-UA"/>
              </w:rPr>
              <w:t>17</w:t>
            </w:r>
          </w:p>
        </w:tc>
        <w:tc>
          <w:tcPr>
            <w:tcW w:w="1134" w:type="dxa"/>
          </w:tcPr>
          <w:p w14:paraId="46429C2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r w:rsidRPr="00E221F6">
              <w:rPr>
                <w:rFonts w:ascii="Arial" w:hAnsi="Arial" w:cs="Arial"/>
                <w:color w:val="000000"/>
                <w:sz w:val="17"/>
                <w:szCs w:val="17"/>
                <w:lang w:val="uk-UA"/>
              </w:rPr>
              <w:t>++ОО</w:t>
            </w:r>
          </w:p>
          <w:p w14:paraId="046D2B82"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7"/>
                <w:szCs w:val="17"/>
                <w:lang w:val="uk-UA"/>
              </w:rPr>
              <w:t>низька</w:t>
            </w:r>
          </w:p>
        </w:tc>
        <w:tc>
          <w:tcPr>
            <w:tcW w:w="1701" w:type="dxa"/>
          </w:tcPr>
          <w:p w14:paraId="6B2ADB90" w14:textId="79960F28" w:rsidR="00CB2D02" w:rsidRPr="00E221F6" w:rsidRDefault="00F238E3" w:rsidP="00CB2D02">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bl>
    <w:p w14:paraId="427C790D" w14:textId="77777777" w:rsidR="00E568A1" w:rsidRPr="00DC5B5D" w:rsidRDefault="00E568A1" w:rsidP="00DC5B5D">
      <w:pPr>
        <w:autoSpaceDE w:val="0"/>
        <w:autoSpaceDN w:val="0"/>
        <w:adjustRightInd w:val="0"/>
        <w:spacing w:after="0" w:line="240" w:lineRule="auto"/>
        <w:jc w:val="both"/>
        <w:rPr>
          <w:rFonts w:ascii="Arial" w:hAnsi="Arial" w:cs="Arial"/>
          <w:color w:val="000000"/>
          <w:sz w:val="16"/>
          <w:szCs w:val="16"/>
          <w:lang w:val="uk-UA"/>
        </w:rPr>
      </w:pPr>
      <w:r>
        <w:rPr>
          <w:rFonts w:ascii="Arial" w:hAnsi="Arial" w:cs="Arial"/>
          <w:color w:val="000000"/>
          <w:sz w:val="16"/>
          <w:szCs w:val="16"/>
          <w:lang w:val="uk-UA"/>
        </w:rPr>
        <w:t xml:space="preserve">*/ </w:t>
      </w:r>
      <w:r w:rsidRPr="00DC5B5D">
        <w:rPr>
          <w:rFonts w:ascii="Arial" w:hAnsi="Arial" w:cs="Arial"/>
          <w:color w:val="000000"/>
          <w:sz w:val="16"/>
          <w:szCs w:val="16"/>
          <w:lang w:val="uk-UA"/>
        </w:rPr>
        <w:t xml:space="preserve">БДК </w:t>
      </w:r>
      <w:r>
        <w:rPr>
          <w:rFonts w:ascii="Arial" w:hAnsi="Arial" w:cs="Arial"/>
          <w:color w:val="000000"/>
          <w:sz w:val="16"/>
          <w:szCs w:val="16"/>
          <w:lang w:val="uk-UA"/>
        </w:rPr>
        <w:t>– бедаквілін;    **/ ФР – фоновий режим</w:t>
      </w:r>
    </w:p>
    <w:p w14:paraId="3C3CB580" w14:textId="77777777" w:rsidR="00E568A1" w:rsidRPr="00CD4C98" w:rsidRDefault="00E568A1" w:rsidP="0037724F">
      <w:pPr>
        <w:autoSpaceDE w:val="0"/>
        <w:autoSpaceDN w:val="0"/>
        <w:adjustRightInd w:val="0"/>
        <w:spacing w:after="0" w:line="240" w:lineRule="auto"/>
        <w:jc w:val="both"/>
        <w:rPr>
          <w:rFonts w:ascii="Arial" w:hAnsi="Arial" w:cs="Arial"/>
          <w:color w:val="000000"/>
        </w:rPr>
      </w:pPr>
    </w:p>
    <w:p w14:paraId="000BB7CF" w14:textId="77777777" w:rsidR="00E568A1" w:rsidRPr="00CB2D02" w:rsidRDefault="00E568A1" w:rsidP="0037724F">
      <w:pPr>
        <w:autoSpaceDE w:val="0"/>
        <w:autoSpaceDN w:val="0"/>
        <w:adjustRightInd w:val="0"/>
        <w:spacing w:after="0" w:line="240" w:lineRule="auto"/>
        <w:jc w:val="both"/>
        <w:rPr>
          <w:rFonts w:ascii="Arial" w:hAnsi="Arial" w:cs="Arial"/>
          <w:color w:val="000000"/>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1068"/>
        <w:gridCol w:w="1069"/>
        <w:gridCol w:w="1068"/>
        <w:gridCol w:w="1069"/>
        <w:gridCol w:w="1068"/>
        <w:gridCol w:w="1069"/>
        <w:gridCol w:w="1205"/>
        <w:gridCol w:w="1205"/>
        <w:gridCol w:w="1205"/>
        <w:gridCol w:w="1205"/>
        <w:gridCol w:w="1134"/>
        <w:gridCol w:w="1701"/>
      </w:tblGrid>
      <w:tr w:rsidR="00447616" w:rsidRPr="0014339A" w14:paraId="235E506C" w14:textId="77777777" w:rsidTr="00660FD1">
        <w:trPr>
          <w:trHeight w:val="328"/>
        </w:trPr>
        <w:tc>
          <w:tcPr>
            <w:tcW w:w="7479" w:type="dxa"/>
            <w:gridSpan w:val="7"/>
            <w:shd w:val="clear" w:color="auto" w:fill="A20000"/>
            <w:vAlign w:val="center"/>
          </w:tcPr>
          <w:p w14:paraId="179D13A6" w14:textId="77777777" w:rsidR="00447616" w:rsidRPr="0014339A" w:rsidRDefault="00447616" w:rsidP="00227B40">
            <w:pPr>
              <w:autoSpaceDE w:val="0"/>
              <w:autoSpaceDN w:val="0"/>
              <w:adjustRightInd w:val="0"/>
              <w:spacing w:after="0" w:line="240" w:lineRule="auto"/>
              <w:jc w:val="center"/>
              <w:rPr>
                <w:rFonts w:ascii="Arial" w:hAnsi="Arial" w:cs="Arial"/>
                <w:b/>
                <w:color w:val="FFFFFF"/>
                <w:sz w:val="6"/>
                <w:szCs w:val="6"/>
              </w:rPr>
            </w:pPr>
          </w:p>
          <w:p w14:paraId="00078859" w14:textId="77777777" w:rsidR="00447616" w:rsidRPr="0014339A" w:rsidRDefault="00447616" w:rsidP="00227B40">
            <w:pPr>
              <w:autoSpaceDE w:val="0"/>
              <w:autoSpaceDN w:val="0"/>
              <w:adjustRightInd w:val="0"/>
              <w:spacing w:after="0" w:line="240" w:lineRule="auto"/>
              <w:jc w:val="center"/>
              <w:rPr>
                <w:rFonts w:ascii="Arial" w:hAnsi="Arial" w:cs="Arial"/>
                <w:b/>
                <w:color w:val="FFFFFF"/>
                <w:sz w:val="17"/>
                <w:szCs w:val="17"/>
                <w:lang w:val="en-US"/>
              </w:rPr>
            </w:pPr>
            <w:r w:rsidRPr="0014339A">
              <w:rPr>
                <w:rFonts w:ascii="Arial" w:hAnsi="Arial" w:cs="Arial"/>
                <w:b/>
                <w:color w:val="FFFFFF"/>
                <w:sz w:val="17"/>
                <w:szCs w:val="17"/>
                <w:lang w:val="en-US"/>
              </w:rPr>
              <w:t>Оцінка якості</w:t>
            </w:r>
          </w:p>
          <w:p w14:paraId="0EA7E07E" w14:textId="77777777" w:rsidR="00447616" w:rsidRPr="0014339A" w:rsidRDefault="00447616" w:rsidP="00E221F6">
            <w:pPr>
              <w:autoSpaceDE w:val="0"/>
              <w:autoSpaceDN w:val="0"/>
              <w:adjustRightInd w:val="0"/>
              <w:spacing w:after="0" w:line="240" w:lineRule="auto"/>
              <w:jc w:val="center"/>
              <w:rPr>
                <w:rFonts w:ascii="Arial" w:hAnsi="Arial" w:cs="Arial"/>
                <w:b/>
                <w:color w:val="FFFFFF"/>
                <w:sz w:val="6"/>
                <w:szCs w:val="6"/>
                <w:lang w:val="en-US"/>
              </w:rPr>
            </w:pPr>
          </w:p>
        </w:tc>
        <w:tc>
          <w:tcPr>
            <w:tcW w:w="2410" w:type="dxa"/>
            <w:gridSpan w:val="2"/>
            <w:shd w:val="clear" w:color="auto" w:fill="A20000"/>
            <w:vAlign w:val="center"/>
          </w:tcPr>
          <w:p w14:paraId="595BFBD7" w14:textId="5C5A7A1D" w:rsidR="00447616" w:rsidRPr="0014339A" w:rsidRDefault="00447616" w:rsidP="00E221F6">
            <w:pPr>
              <w:autoSpaceDE w:val="0"/>
              <w:autoSpaceDN w:val="0"/>
              <w:adjustRightInd w:val="0"/>
              <w:spacing w:after="0" w:line="240" w:lineRule="auto"/>
              <w:jc w:val="center"/>
              <w:rPr>
                <w:rFonts w:ascii="Arial" w:hAnsi="Arial" w:cs="Arial"/>
                <w:b/>
                <w:color w:val="FFFFFF"/>
                <w:sz w:val="17"/>
                <w:szCs w:val="17"/>
                <w:lang w:val="uk-UA"/>
              </w:rPr>
            </w:pPr>
            <w:r w:rsidRPr="0014339A">
              <w:rPr>
                <w:rFonts w:ascii="Arial" w:hAnsi="Arial" w:cs="Arial"/>
                <w:b/>
                <w:color w:val="FFFFFF"/>
                <w:sz w:val="17"/>
                <w:szCs w:val="17"/>
                <w:lang w:val="uk-UA"/>
              </w:rPr>
              <w:t>Кількість пацієнтів</w:t>
            </w:r>
          </w:p>
        </w:tc>
        <w:tc>
          <w:tcPr>
            <w:tcW w:w="2410" w:type="dxa"/>
            <w:gridSpan w:val="2"/>
            <w:shd w:val="clear" w:color="auto" w:fill="A20000"/>
            <w:vAlign w:val="center"/>
          </w:tcPr>
          <w:p w14:paraId="38D95E8B" w14:textId="5799723B" w:rsidR="00447616" w:rsidRPr="0014339A" w:rsidRDefault="00447616" w:rsidP="00E221F6">
            <w:pPr>
              <w:autoSpaceDE w:val="0"/>
              <w:autoSpaceDN w:val="0"/>
              <w:adjustRightInd w:val="0"/>
              <w:spacing w:after="0" w:line="240" w:lineRule="auto"/>
              <w:jc w:val="center"/>
              <w:rPr>
                <w:rFonts w:ascii="Arial" w:hAnsi="Arial" w:cs="Arial"/>
                <w:b/>
                <w:color w:val="FFFFFF"/>
                <w:sz w:val="17"/>
                <w:szCs w:val="17"/>
                <w:lang w:val="uk-UA"/>
              </w:rPr>
            </w:pPr>
            <w:r>
              <w:rPr>
                <w:rFonts w:ascii="Arial" w:hAnsi="Arial" w:cs="Arial"/>
                <w:b/>
                <w:color w:val="FFFFFF"/>
                <w:sz w:val="17"/>
                <w:szCs w:val="17"/>
                <w:lang w:val="uk-UA"/>
              </w:rPr>
              <w:t>Результат</w:t>
            </w:r>
          </w:p>
        </w:tc>
        <w:tc>
          <w:tcPr>
            <w:tcW w:w="1134" w:type="dxa"/>
            <w:shd w:val="clear" w:color="auto" w:fill="A20000"/>
            <w:vAlign w:val="center"/>
          </w:tcPr>
          <w:p w14:paraId="060CC282" w14:textId="482566A3" w:rsidR="00447616" w:rsidRPr="0014339A" w:rsidRDefault="00447616" w:rsidP="00E221F6">
            <w:pPr>
              <w:autoSpaceDE w:val="0"/>
              <w:autoSpaceDN w:val="0"/>
              <w:adjustRightInd w:val="0"/>
              <w:spacing w:after="0" w:line="240" w:lineRule="auto"/>
              <w:jc w:val="center"/>
              <w:rPr>
                <w:rFonts w:ascii="Arial" w:hAnsi="Arial" w:cs="Arial"/>
                <w:b/>
                <w:color w:val="FFFFFF"/>
                <w:sz w:val="17"/>
                <w:szCs w:val="17"/>
                <w:lang w:val="uk-UA"/>
              </w:rPr>
            </w:pPr>
            <w:r w:rsidRPr="0014339A">
              <w:rPr>
                <w:rFonts w:ascii="Arial" w:hAnsi="Arial" w:cs="Arial"/>
                <w:b/>
                <w:color w:val="FFFFFF"/>
                <w:sz w:val="17"/>
                <w:szCs w:val="17"/>
                <w:lang w:val="uk-UA"/>
              </w:rPr>
              <w:t>Якість</w:t>
            </w:r>
          </w:p>
        </w:tc>
        <w:tc>
          <w:tcPr>
            <w:tcW w:w="1701" w:type="dxa"/>
            <w:shd w:val="clear" w:color="auto" w:fill="A20000"/>
            <w:vAlign w:val="center"/>
          </w:tcPr>
          <w:p w14:paraId="328E97B2" w14:textId="5C41C695" w:rsidR="00447616" w:rsidRPr="0014339A" w:rsidRDefault="00447616" w:rsidP="00E221F6">
            <w:pPr>
              <w:autoSpaceDE w:val="0"/>
              <w:autoSpaceDN w:val="0"/>
              <w:adjustRightInd w:val="0"/>
              <w:spacing w:after="0" w:line="240" w:lineRule="auto"/>
              <w:jc w:val="center"/>
              <w:rPr>
                <w:rFonts w:ascii="Arial" w:hAnsi="Arial" w:cs="Arial"/>
                <w:b/>
                <w:color w:val="FFFFFF"/>
                <w:sz w:val="17"/>
                <w:szCs w:val="17"/>
                <w:lang w:val="uk-UA"/>
              </w:rPr>
            </w:pPr>
            <w:r>
              <w:rPr>
                <w:rFonts w:ascii="Arial" w:hAnsi="Arial" w:cs="Arial"/>
                <w:b/>
                <w:color w:val="FFFFFF"/>
                <w:sz w:val="17"/>
                <w:szCs w:val="17"/>
                <w:lang w:val="uk-UA"/>
              </w:rPr>
              <w:t>Важливість</w:t>
            </w:r>
          </w:p>
        </w:tc>
      </w:tr>
      <w:tr w:rsidR="00447616" w:rsidRPr="0014339A" w14:paraId="4CB84CB7" w14:textId="77777777" w:rsidTr="00660FD1">
        <w:trPr>
          <w:trHeight w:val="855"/>
        </w:trPr>
        <w:tc>
          <w:tcPr>
            <w:tcW w:w="1068" w:type="dxa"/>
            <w:shd w:val="clear" w:color="auto" w:fill="A20000"/>
          </w:tcPr>
          <w:p w14:paraId="74400105" w14:textId="1D2EFDC6"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Номер дослідження</w:t>
            </w:r>
          </w:p>
        </w:tc>
        <w:tc>
          <w:tcPr>
            <w:tcW w:w="1068" w:type="dxa"/>
            <w:shd w:val="clear" w:color="auto" w:fill="A20000"/>
          </w:tcPr>
          <w:p w14:paraId="56740916" w14:textId="252842D6"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Формат</w:t>
            </w:r>
          </w:p>
        </w:tc>
        <w:tc>
          <w:tcPr>
            <w:tcW w:w="1069" w:type="dxa"/>
            <w:shd w:val="clear" w:color="auto" w:fill="A20000"/>
          </w:tcPr>
          <w:p w14:paraId="3C8D7CF7" w14:textId="4841FB96"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en-US"/>
              </w:rPr>
            </w:pPr>
            <w:r>
              <w:rPr>
                <w:rFonts w:ascii="Arial" w:hAnsi="Arial" w:cs="Arial"/>
                <w:b/>
                <w:color w:val="FFFFFF"/>
                <w:sz w:val="15"/>
                <w:szCs w:val="15"/>
                <w:lang w:val="en-US"/>
              </w:rPr>
              <w:t>Ризик системної помилки</w:t>
            </w:r>
          </w:p>
        </w:tc>
        <w:tc>
          <w:tcPr>
            <w:tcW w:w="1068" w:type="dxa"/>
            <w:shd w:val="clear" w:color="auto" w:fill="A20000"/>
          </w:tcPr>
          <w:p w14:paraId="1AFFDFC2" w14:textId="61B11512"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Pr>
                <w:rFonts w:ascii="Arial" w:hAnsi="Arial" w:cs="Arial"/>
                <w:b/>
                <w:color w:val="FFFFFF"/>
                <w:sz w:val="16"/>
                <w:szCs w:val="16"/>
                <w:lang w:val="uk-UA"/>
              </w:rPr>
              <w:t>Неузгодженість</w:t>
            </w:r>
          </w:p>
        </w:tc>
        <w:tc>
          <w:tcPr>
            <w:tcW w:w="1069" w:type="dxa"/>
            <w:shd w:val="clear" w:color="auto" w:fill="A20000"/>
          </w:tcPr>
          <w:p w14:paraId="6537C8A7" w14:textId="2100408F"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5"/>
                <w:szCs w:val="15"/>
                <w:lang w:val="uk-UA"/>
              </w:rPr>
              <w:t>Опосеред-кованість</w:t>
            </w:r>
          </w:p>
        </w:tc>
        <w:tc>
          <w:tcPr>
            <w:tcW w:w="1068" w:type="dxa"/>
            <w:shd w:val="clear" w:color="auto" w:fill="A20000"/>
          </w:tcPr>
          <w:p w14:paraId="28198AD5" w14:textId="641FB320"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en-US"/>
              </w:rPr>
            </w:pPr>
            <w:r w:rsidRPr="0014339A">
              <w:rPr>
                <w:rFonts w:ascii="Arial" w:hAnsi="Arial" w:cs="Arial"/>
                <w:b/>
                <w:color w:val="FFFFFF"/>
                <w:sz w:val="16"/>
                <w:szCs w:val="16"/>
                <w:lang w:val="en-US"/>
              </w:rPr>
              <w:t>Неточ</w:t>
            </w:r>
            <w:r w:rsidRPr="0014339A">
              <w:rPr>
                <w:rFonts w:ascii="Arial" w:hAnsi="Arial" w:cs="Arial"/>
                <w:b/>
                <w:color w:val="FFFFFF"/>
                <w:sz w:val="16"/>
                <w:szCs w:val="16"/>
                <w:lang w:val="uk-UA"/>
              </w:rPr>
              <w:t>-</w:t>
            </w:r>
            <w:r w:rsidRPr="0014339A">
              <w:rPr>
                <w:rFonts w:ascii="Arial" w:hAnsi="Arial" w:cs="Arial"/>
                <w:b/>
                <w:color w:val="FFFFFF"/>
                <w:sz w:val="16"/>
                <w:szCs w:val="16"/>
                <w:lang w:val="en-US"/>
              </w:rPr>
              <w:t>ність</w:t>
            </w:r>
          </w:p>
        </w:tc>
        <w:tc>
          <w:tcPr>
            <w:tcW w:w="1069" w:type="dxa"/>
            <w:shd w:val="clear" w:color="auto" w:fill="A20000"/>
          </w:tcPr>
          <w:p w14:paraId="210757C8" w14:textId="77777777"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5"/>
                <w:szCs w:val="15"/>
                <w:lang w:val="uk-UA"/>
              </w:rPr>
              <w:t>Інші</w:t>
            </w:r>
          </w:p>
          <w:p w14:paraId="692D878D" w14:textId="31BF63E8"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Pr>
                <w:rFonts w:ascii="Arial" w:hAnsi="Arial" w:cs="Arial"/>
                <w:b/>
                <w:color w:val="FFFFFF"/>
                <w:sz w:val="15"/>
                <w:szCs w:val="15"/>
                <w:lang w:val="uk-UA"/>
              </w:rPr>
              <w:t>зауваження</w:t>
            </w:r>
          </w:p>
        </w:tc>
        <w:tc>
          <w:tcPr>
            <w:tcW w:w="1205" w:type="dxa"/>
            <w:shd w:val="clear" w:color="auto" w:fill="A20000"/>
          </w:tcPr>
          <w:p w14:paraId="12B62C6E" w14:textId="42845695" w:rsidR="00447616" w:rsidRPr="0014339A" w:rsidRDefault="00447616" w:rsidP="00447616">
            <w:pPr>
              <w:autoSpaceDE w:val="0"/>
              <w:autoSpaceDN w:val="0"/>
              <w:adjustRightInd w:val="0"/>
              <w:spacing w:after="0" w:line="240" w:lineRule="auto"/>
              <w:jc w:val="center"/>
              <w:rPr>
                <w:rFonts w:ascii="Arial" w:hAnsi="Arial" w:cs="Arial"/>
                <w:b/>
                <w:color w:val="FFFFFF"/>
                <w:sz w:val="15"/>
                <w:szCs w:val="15"/>
                <w:lang w:val="uk-UA"/>
              </w:rPr>
            </w:pPr>
            <w:r w:rsidRPr="0014339A">
              <w:rPr>
                <w:rFonts w:ascii="Arial" w:hAnsi="Arial" w:cs="Arial"/>
                <w:b/>
                <w:color w:val="FFFFFF"/>
                <w:sz w:val="16"/>
                <w:szCs w:val="16"/>
                <w:lang w:val="uk-UA"/>
              </w:rPr>
              <w:t>Додавання БДК</w:t>
            </w:r>
            <w:r w:rsidRPr="0014339A">
              <w:rPr>
                <w:rFonts w:ascii="Arial" w:hAnsi="Arial" w:cs="Arial"/>
                <w:b/>
                <w:color w:val="FFFFFF"/>
                <w:sz w:val="15"/>
                <w:szCs w:val="15"/>
                <w:lang w:val="uk-UA"/>
              </w:rPr>
              <w:t xml:space="preserve">* </w:t>
            </w:r>
            <w:r w:rsidRPr="0014339A">
              <w:rPr>
                <w:rFonts w:ascii="Arial" w:hAnsi="Arial" w:cs="Arial"/>
                <w:b/>
                <w:color w:val="FFFFFF"/>
                <w:sz w:val="16"/>
                <w:szCs w:val="16"/>
                <w:lang w:val="uk-UA"/>
              </w:rPr>
              <w:t>до ФР</w:t>
            </w:r>
            <w:r w:rsidRPr="0014339A">
              <w:rPr>
                <w:rFonts w:ascii="Arial" w:hAnsi="Arial" w:cs="Arial"/>
                <w:b/>
                <w:color w:val="FFFFFF"/>
                <w:sz w:val="15"/>
                <w:szCs w:val="15"/>
                <w:lang w:val="uk-UA"/>
              </w:rPr>
              <w:t>**</w:t>
            </w:r>
          </w:p>
        </w:tc>
        <w:tc>
          <w:tcPr>
            <w:tcW w:w="1205" w:type="dxa"/>
            <w:shd w:val="clear" w:color="auto" w:fill="A20000"/>
          </w:tcPr>
          <w:p w14:paraId="71D32344" w14:textId="499F1D26"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Тільки ФР</w:t>
            </w:r>
          </w:p>
        </w:tc>
        <w:tc>
          <w:tcPr>
            <w:tcW w:w="1205" w:type="dxa"/>
            <w:shd w:val="clear" w:color="auto" w:fill="A20000"/>
          </w:tcPr>
          <w:p w14:paraId="1D16D5E1" w14:textId="77777777"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Відносний</w:t>
            </w:r>
          </w:p>
          <w:p w14:paraId="404841CE" w14:textId="1017E3BF"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(95% ДІ)</w:t>
            </w:r>
          </w:p>
        </w:tc>
        <w:tc>
          <w:tcPr>
            <w:tcW w:w="1205" w:type="dxa"/>
            <w:shd w:val="clear" w:color="auto" w:fill="A20000"/>
          </w:tcPr>
          <w:p w14:paraId="2F114E8F" w14:textId="3CAF60BA"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r w:rsidRPr="0014339A">
              <w:rPr>
                <w:rFonts w:ascii="Arial" w:hAnsi="Arial" w:cs="Arial"/>
                <w:b/>
                <w:color w:val="FFFFFF"/>
                <w:sz w:val="16"/>
                <w:szCs w:val="16"/>
                <w:lang w:val="uk-UA"/>
              </w:rPr>
              <w:t>Абсолют-ний</w:t>
            </w:r>
          </w:p>
        </w:tc>
        <w:tc>
          <w:tcPr>
            <w:tcW w:w="1134" w:type="dxa"/>
            <w:shd w:val="clear" w:color="auto" w:fill="A20000"/>
          </w:tcPr>
          <w:p w14:paraId="45FF8BCE" w14:textId="77777777"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p>
        </w:tc>
        <w:tc>
          <w:tcPr>
            <w:tcW w:w="1701" w:type="dxa"/>
            <w:shd w:val="clear" w:color="auto" w:fill="A20000"/>
          </w:tcPr>
          <w:p w14:paraId="77A33F17" w14:textId="77777777" w:rsidR="00447616" w:rsidRPr="0014339A" w:rsidRDefault="00447616" w:rsidP="00447616">
            <w:pPr>
              <w:autoSpaceDE w:val="0"/>
              <w:autoSpaceDN w:val="0"/>
              <w:adjustRightInd w:val="0"/>
              <w:spacing w:after="0" w:line="240" w:lineRule="auto"/>
              <w:jc w:val="center"/>
              <w:rPr>
                <w:rFonts w:ascii="Arial" w:hAnsi="Arial" w:cs="Arial"/>
                <w:b/>
                <w:color w:val="FFFFFF"/>
                <w:sz w:val="16"/>
                <w:szCs w:val="16"/>
                <w:lang w:val="uk-UA"/>
              </w:rPr>
            </w:pPr>
          </w:p>
        </w:tc>
      </w:tr>
      <w:tr w:rsidR="00E568A1" w:rsidRPr="0014339A" w14:paraId="43C7BC2E" w14:textId="77777777" w:rsidTr="00660FD1">
        <w:tblPrEx>
          <w:tblBorders>
            <w:top w:val="none" w:sz="0" w:space="0" w:color="auto"/>
            <w:bottom w:val="none" w:sz="0" w:space="0" w:color="auto"/>
            <w:insideH w:val="none" w:sz="0" w:space="0" w:color="auto"/>
            <w:insideV w:val="none" w:sz="0" w:space="0" w:color="auto"/>
          </w:tblBorders>
        </w:tblPrEx>
        <w:tc>
          <w:tcPr>
            <w:tcW w:w="15134" w:type="dxa"/>
            <w:gridSpan w:val="13"/>
            <w:shd w:val="clear" w:color="auto" w:fill="A20000"/>
            <w:vAlign w:val="center"/>
          </w:tcPr>
          <w:p w14:paraId="5563EFF5" w14:textId="77777777" w:rsidR="00E568A1" w:rsidRPr="0014339A" w:rsidRDefault="00E568A1" w:rsidP="00E221F6">
            <w:pPr>
              <w:autoSpaceDE w:val="0"/>
              <w:autoSpaceDN w:val="0"/>
              <w:adjustRightInd w:val="0"/>
              <w:spacing w:after="0" w:line="240" w:lineRule="auto"/>
              <w:rPr>
                <w:rFonts w:ascii="Arial" w:hAnsi="Arial" w:cs="Arial"/>
                <w:b/>
                <w:i/>
                <w:color w:val="FFFFFF"/>
                <w:sz w:val="6"/>
                <w:szCs w:val="6"/>
                <w:lang w:val="uk-UA"/>
              </w:rPr>
            </w:pPr>
          </w:p>
          <w:p w14:paraId="75F95DEC" w14:textId="77777777" w:rsidR="00E568A1" w:rsidRPr="0014339A" w:rsidRDefault="00E568A1" w:rsidP="00E221F6">
            <w:pPr>
              <w:autoSpaceDE w:val="0"/>
              <w:autoSpaceDN w:val="0"/>
              <w:adjustRightInd w:val="0"/>
              <w:spacing w:after="0" w:line="240" w:lineRule="auto"/>
              <w:rPr>
                <w:rFonts w:ascii="Arial" w:hAnsi="Arial" w:cs="Arial"/>
                <w:b/>
                <w:i/>
                <w:color w:val="FFFFFF"/>
                <w:sz w:val="17"/>
                <w:szCs w:val="17"/>
                <w:lang w:val="uk-UA"/>
              </w:rPr>
            </w:pPr>
            <w:r w:rsidRPr="0014339A">
              <w:rPr>
                <w:rFonts w:ascii="Arial" w:hAnsi="Arial" w:cs="Arial"/>
                <w:b/>
                <w:i/>
                <w:color w:val="FFFFFF"/>
                <w:sz w:val="17"/>
                <w:szCs w:val="17"/>
                <w:lang w:val="uk-UA"/>
              </w:rPr>
              <w:t>Зміна культури  на 24-му тижні (</w:t>
            </w:r>
            <w:r w:rsidRPr="0014339A">
              <w:rPr>
                <w:rFonts w:ascii="Arial" w:hAnsi="Arial" w:cs="Arial"/>
                <w:b/>
                <w:i/>
                <w:color w:val="FFFFFF"/>
                <w:sz w:val="17"/>
                <w:szCs w:val="17"/>
                <w:lang w:val="en-US"/>
              </w:rPr>
              <w:t>C</w:t>
            </w:r>
            <w:r w:rsidRPr="0014339A">
              <w:rPr>
                <w:rFonts w:ascii="Arial" w:hAnsi="Arial" w:cs="Arial"/>
                <w:b/>
                <w:i/>
                <w:color w:val="FFFFFF"/>
                <w:sz w:val="17"/>
                <w:szCs w:val="17"/>
                <w:lang w:val="uk-UA"/>
              </w:rPr>
              <w:t xml:space="preserve">208, Етап 2: </w:t>
            </w:r>
            <w:r w:rsidRPr="0014339A">
              <w:rPr>
                <w:rFonts w:ascii="Arial" w:hAnsi="Arial" w:cs="Arial"/>
                <w:b/>
                <w:i/>
                <w:color w:val="FFFFFF"/>
                <w:sz w:val="17"/>
                <w:szCs w:val="17"/>
                <w:lang w:val="en-US"/>
              </w:rPr>
              <w:t>mITT</w:t>
            </w:r>
            <w:r w:rsidRPr="0014339A">
              <w:rPr>
                <w:rFonts w:ascii="Arial" w:hAnsi="Arial" w:cs="Arial"/>
                <w:b/>
                <w:i/>
                <w:color w:val="FFFFFF"/>
                <w:sz w:val="17"/>
                <w:szCs w:val="17"/>
                <w:lang w:val="uk-UA"/>
              </w:rPr>
              <w:t xml:space="preserve">1) (оцінюється з мікробіологічною кінцевою точкою - </w:t>
            </w:r>
            <w:r w:rsidRPr="0014339A">
              <w:rPr>
                <w:rFonts w:ascii="Arial" w:hAnsi="Arial" w:cs="Arial"/>
                <w:b/>
                <w:i/>
                <w:color w:val="FFFFFF"/>
                <w:sz w:val="17"/>
                <w:szCs w:val="17"/>
                <w:lang w:val="en-US"/>
              </w:rPr>
              <w:t>MGIT</w:t>
            </w:r>
            <w:r w:rsidRPr="0014339A">
              <w:rPr>
                <w:rFonts w:ascii="Arial" w:hAnsi="Arial" w:cs="Arial"/>
                <w:b/>
                <w:i/>
                <w:color w:val="FFFFFF"/>
                <w:sz w:val="17"/>
                <w:szCs w:val="17"/>
                <w:lang w:val="uk-UA"/>
              </w:rPr>
              <w:t>960)</w:t>
            </w:r>
          </w:p>
          <w:p w14:paraId="7A95115B" w14:textId="77777777" w:rsidR="00E568A1" w:rsidRPr="0014339A" w:rsidRDefault="00E568A1" w:rsidP="00E221F6">
            <w:pPr>
              <w:autoSpaceDE w:val="0"/>
              <w:autoSpaceDN w:val="0"/>
              <w:adjustRightInd w:val="0"/>
              <w:spacing w:after="0" w:line="240" w:lineRule="auto"/>
              <w:rPr>
                <w:rFonts w:ascii="Arial" w:hAnsi="Arial" w:cs="Arial"/>
                <w:b/>
                <w:i/>
                <w:color w:val="FFFFFF"/>
                <w:sz w:val="8"/>
                <w:szCs w:val="8"/>
                <w:lang w:val="uk-UA"/>
              </w:rPr>
            </w:pPr>
          </w:p>
        </w:tc>
      </w:tr>
    </w:tbl>
    <w:p w14:paraId="608B0EBF" w14:textId="77777777" w:rsidR="00E568A1" w:rsidRPr="00226DD7" w:rsidRDefault="00E568A1" w:rsidP="0054765F">
      <w:pPr>
        <w:spacing w:after="0"/>
        <w:rPr>
          <w:vanish/>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1068"/>
        <w:gridCol w:w="1069"/>
        <w:gridCol w:w="1068"/>
        <w:gridCol w:w="1069"/>
        <w:gridCol w:w="1068"/>
        <w:gridCol w:w="1069"/>
        <w:gridCol w:w="1205"/>
        <w:gridCol w:w="1205"/>
        <w:gridCol w:w="1205"/>
        <w:gridCol w:w="1205"/>
        <w:gridCol w:w="1134"/>
        <w:gridCol w:w="1701"/>
      </w:tblGrid>
      <w:tr w:rsidR="00CB2D02" w:rsidRPr="00226DD7" w14:paraId="182B7BFE" w14:textId="77777777" w:rsidTr="00E221F6">
        <w:trPr>
          <w:trHeight w:val="855"/>
        </w:trPr>
        <w:tc>
          <w:tcPr>
            <w:tcW w:w="1068" w:type="dxa"/>
          </w:tcPr>
          <w:p w14:paraId="51C18DA7"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p w14:paraId="0964187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 xml:space="preserve">1 </w:t>
            </w:r>
            <w:r w:rsidRPr="00E221F6">
              <w:rPr>
                <w:rFonts w:ascii="Arial" w:hAnsi="Arial" w:cs="Arial"/>
                <w:color w:val="000000"/>
                <w:sz w:val="18"/>
                <w:szCs w:val="18"/>
                <w:vertAlign w:val="superscript"/>
                <w:lang w:val="en-US"/>
              </w:rPr>
              <w:t>18</w:t>
            </w:r>
          </w:p>
        </w:tc>
        <w:tc>
          <w:tcPr>
            <w:tcW w:w="1068" w:type="dxa"/>
          </w:tcPr>
          <w:p w14:paraId="600B23B5"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2665C37A" w14:textId="71517330" w:rsidR="00CB2D02" w:rsidRPr="00E221F6"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Pr>
                <w:rFonts w:ascii="Arial" w:hAnsi="Arial" w:cs="Arial"/>
                <w:color w:val="000000"/>
                <w:sz w:val="16"/>
                <w:szCs w:val="16"/>
                <w:lang w:val="uk-UA"/>
              </w:rPr>
              <w:t>дослідження</w:t>
            </w:r>
          </w:p>
        </w:tc>
        <w:tc>
          <w:tcPr>
            <w:tcW w:w="1069" w:type="dxa"/>
          </w:tcPr>
          <w:p w14:paraId="2908E84D" w14:textId="77777777" w:rsidR="00CB2D02" w:rsidRPr="00CB2D02" w:rsidRDefault="00CB2D02" w:rsidP="00CB2D02">
            <w:pPr>
              <w:autoSpaceDE w:val="0"/>
              <w:autoSpaceDN w:val="0"/>
              <w:adjustRightInd w:val="0"/>
              <w:spacing w:after="0" w:line="240" w:lineRule="auto"/>
              <w:jc w:val="both"/>
              <w:rPr>
                <w:rFonts w:ascii="Arial" w:hAnsi="Arial" w:cs="Arial"/>
                <w:color w:val="000000"/>
                <w:sz w:val="16"/>
                <w:szCs w:val="16"/>
              </w:rPr>
            </w:pPr>
          </w:p>
          <w:p w14:paraId="55C4A8AA" w14:textId="69FAE7BA" w:rsidR="00CB2D02" w:rsidRPr="00E221F6" w:rsidRDefault="00447616" w:rsidP="00CB2D02">
            <w:pPr>
              <w:autoSpaceDE w:val="0"/>
              <w:autoSpaceDN w:val="0"/>
              <w:adjustRightInd w:val="0"/>
              <w:spacing w:after="0" w:line="240" w:lineRule="auto"/>
              <w:jc w:val="both"/>
              <w:rPr>
                <w:rFonts w:ascii="Arial" w:hAnsi="Arial" w:cs="Arial"/>
                <w:color w:val="000000"/>
                <w:sz w:val="16"/>
                <w:szCs w:val="16"/>
                <w:vertAlign w:val="superscript"/>
                <w:lang w:val="uk-UA"/>
              </w:rPr>
            </w:pPr>
            <w:r w:rsidRPr="00CB2D02">
              <w:rPr>
                <w:rFonts w:ascii="Arial" w:hAnsi="Arial" w:cs="Arial"/>
                <w:color w:val="000000"/>
                <w:sz w:val="16"/>
                <w:szCs w:val="16"/>
              </w:rPr>
              <w:t>немає серйозного ризику сис</w:t>
            </w:r>
            <w:r>
              <w:rPr>
                <w:rFonts w:ascii="Arial" w:hAnsi="Arial" w:cs="Arial"/>
                <w:color w:val="000000"/>
                <w:sz w:val="16"/>
                <w:szCs w:val="16"/>
                <w:lang w:val="uk-UA"/>
              </w:rPr>
              <w:t>-</w:t>
            </w:r>
            <w:r>
              <w:rPr>
                <w:rFonts w:ascii="Arial" w:hAnsi="Arial" w:cs="Arial"/>
                <w:color w:val="000000"/>
                <w:sz w:val="16"/>
                <w:szCs w:val="16"/>
              </w:rPr>
              <w:t>темн</w:t>
            </w:r>
            <w:r w:rsidRPr="00CB2D02">
              <w:rPr>
                <w:rFonts w:ascii="Arial" w:hAnsi="Arial" w:cs="Arial"/>
                <w:color w:val="000000"/>
                <w:sz w:val="16"/>
                <w:szCs w:val="16"/>
              </w:rPr>
              <w:t>ої помилки</w:t>
            </w:r>
          </w:p>
        </w:tc>
        <w:tc>
          <w:tcPr>
            <w:tcW w:w="1068" w:type="dxa"/>
          </w:tcPr>
          <w:p w14:paraId="748761AA" w14:textId="77777777" w:rsidR="00CB2D02"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08BAA3C8"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Pr>
                <w:rFonts w:ascii="Arial" w:hAnsi="Arial" w:cs="Arial"/>
                <w:color w:val="000000"/>
                <w:sz w:val="16"/>
                <w:szCs w:val="16"/>
                <w:lang w:val="uk-UA"/>
              </w:rPr>
              <w:t>неузго-дженості</w:t>
            </w:r>
          </w:p>
        </w:tc>
        <w:tc>
          <w:tcPr>
            <w:tcW w:w="1069" w:type="dxa"/>
          </w:tcPr>
          <w:p w14:paraId="7B29EE38"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12A4CDE3"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серйозна</w:t>
            </w:r>
            <w:r w:rsidRPr="00E221F6">
              <w:rPr>
                <w:rFonts w:ascii="Arial" w:hAnsi="Arial" w:cs="Arial"/>
                <w:color w:val="000000"/>
                <w:sz w:val="16"/>
                <w:szCs w:val="16"/>
                <w:vertAlign w:val="superscript"/>
                <w:lang w:val="en-US"/>
              </w:rPr>
              <w:t>16</w:t>
            </w:r>
          </w:p>
        </w:tc>
        <w:tc>
          <w:tcPr>
            <w:tcW w:w="1068" w:type="dxa"/>
          </w:tcPr>
          <w:p w14:paraId="577B348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2C9B590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серйозна</w:t>
            </w:r>
            <w:r w:rsidRPr="00E221F6">
              <w:rPr>
                <w:rFonts w:ascii="Arial" w:hAnsi="Arial" w:cs="Arial"/>
                <w:color w:val="000000"/>
                <w:sz w:val="16"/>
                <w:szCs w:val="16"/>
                <w:vertAlign w:val="superscript"/>
                <w:lang w:val="en-US"/>
              </w:rPr>
              <w:t xml:space="preserve"> </w:t>
            </w:r>
            <w:r w:rsidRPr="00E221F6">
              <w:rPr>
                <w:rFonts w:ascii="Arial" w:hAnsi="Arial" w:cs="Arial"/>
                <w:color w:val="000000"/>
                <w:sz w:val="16"/>
                <w:szCs w:val="16"/>
                <w:vertAlign w:val="superscript"/>
                <w:lang w:val="uk-UA"/>
              </w:rPr>
              <w:t>5</w:t>
            </w:r>
          </w:p>
        </w:tc>
        <w:tc>
          <w:tcPr>
            <w:tcW w:w="1069" w:type="dxa"/>
          </w:tcPr>
          <w:p w14:paraId="5EB2C1D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0AC3820B"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немає</w:t>
            </w:r>
          </w:p>
        </w:tc>
        <w:tc>
          <w:tcPr>
            <w:tcW w:w="1205" w:type="dxa"/>
          </w:tcPr>
          <w:p w14:paraId="09609C2B"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5A53CBA0"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 xml:space="preserve">52 / 66 </w:t>
            </w:r>
            <w:r w:rsidRPr="00E221F6">
              <w:rPr>
                <w:rFonts w:ascii="Arial" w:hAnsi="Arial" w:cs="Arial"/>
                <w:color w:val="000000"/>
                <w:sz w:val="16"/>
                <w:szCs w:val="16"/>
                <w:vertAlign w:val="superscript"/>
                <w:lang w:val="uk-UA"/>
              </w:rPr>
              <w:t>1</w:t>
            </w:r>
          </w:p>
          <w:p w14:paraId="5BB7A731"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(78.8%)</w:t>
            </w:r>
          </w:p>
        </w:tc>
        <w:tc>
          <w:tcPr>
            <w:tcW w:w="1205" w:type="dxa"/>
          </w:tcPr>
          <w:p w14:paraId="2F95FC7C"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2803FA4A"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 xml:space="preserve">38 / 66 </w:t>
            </w:r>
            <w:r w:rsidRPr="00E221F6">
              <w:rPr>
                <w:rFonts w:ascii="Arial" w:hAnsi="Arial" w:cs="Arial"/>
                <w:color w:val="000000"/>
                <w:sz w:val="16"/>
                <w:szCs w:val="16"/>
                <w:vertAlign w:val="superscript"/>
                <w:lang w:val="uk-UA"/>
              </w:rPr>
              <w:t>1</w:t>
            </w:r>
          </w:p>
          <w:p w14:paraId="3BA5A92C"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(57.6%) </w:t>
            </w:r>
          </w:p>
        </w:tc>
        <w:tc>
          <w:tcPr>
            <w:tcW w:w="1205" w:type="dxa"/>
          </w:tcPr>
          <w:p w14:paraId="5D57D0FA"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0CF8F86A"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lang w:val="en-US"/>
              </w:rPr>
              <w:t>RR 1.3</w:t>
            </w:r>
            <w:r w:rsidRPr="00E221F6">
              <w:rPr>
                <w:rFonts w:ascii="Arial" w:hAnsi="Arial" w:cs="Arial"/>
                <w:color w:val="000000"/>
                <w:sz w:val="17"/>
                <w:szCs w:val="17"/>
                <w:lang w:val="uk-UA"/>
              </w:rPr>
              <w:t>7</w:t>
            </w:r>
            <w:r w:rsidRPr="00E221F6">
              <w:rPr>
                <w:rFonts w:ascii="Arial" w:hAnsi="Arial" w:cs="Arial"/>
                <w:color w:val="000000"/>
                <w:sz w:val="17"/>
                <w:szCs w:val="17"/>
                <w:lang w:val="en-US"/>
              </w:rPr>
              <w:t xml:space="preserve"> </w:t>
            </w:r>
          </w:p>
          <w:p w14:paraId="465EBC12"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lang w:val="en-US"/>
              </w:rPr>
              <w:t>(1.1</w:t>
            </w:r>
            <w:r w:rsidRPr="00E221F6">
              <w:rPr>
                <w:rFonts w:ascii="Arial" w:hAnsi="Arial" w:cs="Arial"/>
                <w:color w:val="000000"/>
                <w:sz w:val="17"/>
                <w:szCs w:val="17"/>
                <w:lang w:val="uk-UA"/>
              </w:rPr>
              <w:t xml:space="preserve"> </w:t>
            </w:r>
            <w:r w:rsidRPr="00E221F6">
              <w:rPr>
                <w:rFonts w:ascii="Arial" w:hAnsi="Arial" w:cs="Arial"/>
                <w:color w:val="000000"/>
                <w:sz w:val="17"/>
                <w:szCs w:val="17"/>
              </w:rPr>
              <w:t>до</w:t>
            </w:r>
            <w:r w:rsidRPr="00E221F6">
              <w:rPr>
                <w:rFonts w:ascii="Arial" w:hAnsi="Arial" w:cs="Arial"/>
                <w:color w:val="000000"/>
                <w:sz w:val="17"/>
                <w:szCs w:val="17"/>
                <w:lang w:val="en-US"/>
              </w:rPr>
              <w:t xml:space="preserve"> 1.</w:t>
            </w:r>
            <w:r w:rsidRPr="00E221F6">
              <w:rPr>
                <w:rFonts w:ascii="Arial" w:hAnsi="Arial" w:cs="Arial"/>
                <w:color w:val="000000"/>
                <w:sz w:val="17"/>
                <w:szCs w:val="17"/>
                <w:lang w:val="uk-UA"/>
              </w:rPr>
              <w:t>77</w:t>
            </w:r>
            <w:r w:rsidRPr="00E221F6">
              <w:rPr>
                <w:rFonts w:ascii="Arial" w:hAnsi="Arial" w:cs="Arial"/>
                <w:color w:val="000000"/>
                <w:sz w:val="17"/>
                <w:szCs w:val="17"/>
                <w:lang w:val="en-US"/>
              </w:rPr>
              <w:t>)</w:t>
            </w:r>
            <w:r w:rsidRPr="00E221F6">
              <w:rPr>
                <w:rFonts w:ascii="Arial" w:hAnsi="Arial" w:cs="Arial"/>
                <w:color w:val="000000"/>
                <w:sz w:val="17"/>
                <w:szCs w:val="17"/>
                <w:vertAlign w:val="superscript"/>
                <w:lang w:val="en-US"/>
              </w:rPr>
              <w:t>19</w:t>
            </w:r>
          </w:p>
          <w:p w14:paraId="3B61D5E8"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tc>
        <w:tc>
          <w:tcPr>
            <w:tcW w:w="1205" w:type="dxa"/>
          </w:tcPr>
          <w:p w14:paraId="3357F72E"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50B267A4" w14:textId="77777777" w:rsidR="00CB2D02" w:rsidRPr="00E221F6" w:rsidRDefault="00CB2D02" w:rsidP="00CB2D02">
            <w:pPr>
              <w:autoSpaceDE w:val="0"/>
              <w:autoSpaceDN w:val="0"/>
              <w:adjustRightInd w:val="0"/>
              <w:spacing w:after="0" w:line="240" w:lineRule="auto"/>
              <w:rPr>
                <w:rFonts w:ascii="Times New Roman" w:hAnsi="Times New Roman" w:cs="Arial"/>
                <w:color w:val="000000"/>
                <w:sz w:val="16"/>
                <w:szCs w:val="16"/>
                <w:vertAlign w:val="superscript"/>
                <w:lang w:val="uk-UA"/>
              </w:rPr>
            </w:pPr>
            <w:r w:rsidRPr="00E221F6">
              <w:rPr>
                <w:rFonts w:ascii="Arial" w:hAnsi="Arial" w:cs="Arial"/>
                <w:color w:val="000000"/>
                <w:sz w:val="16"/>
                <w:szCs w:val="16"/>
                <w:lang w:val="uk-UA"/>
              </w:rPr>
              <w:t>на 21 більше на 100 (</w:t>
            </w:r>
            <w:r>
              <w:rPr>
                <w:rFonts w:ascii="Arial" w:hAnsi="Arial" w:cs="Arial"/>
                <w:color w:val="000000"/>
                <w:sz w:val="16"/>
                <w:szCs w:val="16"/>
                <w:lang w:val="uk-UA"/>
              </w:rPr>
              <w:t>збільшення</w:t>
            </w:r>
            <w:r w:rsidRPr="00E221F6">
              <w:rPr>
                <w:rFonts w:ascii="Arial" w:hAnsi="Arial" w:cs="Arial"/>
                <w:color w:val="000000"/>
                <w:sz w:val="16"/>
                <w:szCs w:val="16"/>
                <w:lang w:val="uk-UA"/>
              </w:rPr>
              <w:t>від 6 до 44)</w:t>
            </w:r>
          </w:p>
        </w:tc>
        <w:tc>
          <w:tcPr>
            <w:tcW w:w="1134" w:type="dxa"/>
          </w:tcPr>
          <w:p w14:paraId="673EE6C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732939B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++ОО</w:t>
            </w:r>
          </w:p>
          <w:p w14:paraId="0F97E2E5"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низька</w:t>
            </w:r>
          </w:p>
        </w:tc>
        <w:tc>
          <w:tcPr>
            <w:tcW w:w="1701" w:type="dxa"/>
          </w:tcPr>
          <w:p w14:paraId="50E834B2"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p>
          <w:p w14:paraId="773A71C5" w14:textId="344EC38B" w:rsidR="00CB2D02" w:rsidRPr="00E221F6" w:rsidRDefault="00F238E3" w:rsidP="00CB2D02">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r w:rsidR="00CB2D02" w:rsidRPr="00226DD7" w14:paraId="3B60F48F" w14:textId="77777777" w:rsidTr="004C1D9D">
        <w:tblPrEx>
          <w:tblBorders>
            <w:top w:val="none" w:sz="0" w:space="0" w:color="auto"/>
            <w:bottom w:val="none" w:sz="0" w:space="0" w:color="auto"/>
            <w:insideH w:val="none" w:sz="0" w:space="0" w:color="auto"/>
            <w:insideV w:val="none" w:sz="0" w:space="0" w:color="auto"/>
          </w:tblBorders>
        </w:tblPrEx>
        <w:tc>
          <w:tcPr>
            <w:tcW w:w="15134" w:type="dxa"/>
            <w:gridSpan w:val="13"/>
            <w:shd w:val="clear" w:color="auto" w:fill="F2ACB1"/>
            <w:vAlign w:val="center"/>
          </w:tcPr>
          <w:p w14:paraId="574088A1" w14:textId="77777777" w:rsidR="00CB2D02" w:rsidRPr="00E221F6" w:rsidRDefault="00CB2D02" w:rsidP="00CB2D02">
            <w:pPr>
              <w:autoSpaceDE w:val="0"/>
              <w:autoSpaceDN w:val="0"/>
              <w:adjustRightInd w:val="0"/>
              <w:spacing w:after="0" w:line="240" w:lineRule="auto"/>
              <w:rPr>
                <w:rFonts w:ascii="Arial" w:hAnsi="Arial" w:cs="Arial"/>
                <w:b/>
                <w:i/>
                <w:color w:val="000000"/>
                <w:sz w:val="6"/>
                <w:szCs w:val="6"/>
                <w:lang w:val="uk-UA"/>
              </w:rPr>
            </w:pPr>
          </w:p>
          <w:p w14:paraId="61C65BA8" w14:textId="77777777" w:rsidR="00CB2D02" w:rsidRPr="00E221F6" w:rsidRDefault="00CB2D02" w:rsidP="00CB2D02">
            <w:pPr>
              <w:autoSpaceDE w:val="0"/>
              <w:autoSpaceDN w:val="0"/>
              <w:adjustRightInd w:val="0"/>
              <w:spacing w:after="0" w:line="240" w:lineRule="auto"/>
              <w:rPr>
                <w:rFonts w:ascii="Arial" w:hAnsi="Arial" w:cs="Arial"/>
                <w:b/>
                <w:i/>
                <w:color w:val="000000"/>
                <w:sz w:val="17"/>
                <w:szCs w:val="17"/>
                <w:lang w:val="uk-UA"/>
              </w:rPr>
            </w:pPr>
            <w:r w:rsidRPr="00E221F6">
              <w:rPr>
                <w:rFonts w:ascii="Arial" w:hAnsi="Arial" w:cs="Arial"/>
                <w:b/>
                <w:i/>
                <w:color w:val="000000"/>
                <w:sz w:val="17"/>
                <w:szCs w:val="17"/>
                <w:lang w:val="uk-UA"/>
              </w:rPr>
              <w:t>Набута резистентність до фторхінолонів, аміноглікозидів або капреоміцину на 72 тижні (C208, Етап 2: mITT) 20 (оцінюється з: мікробіологічними кінцевими точками)</w:t>
            </w:r>
          </w:p>
          <w:p w14:paraId="11B72DB3" w14:textId="77777777" w:rsidR="00CB2D02" w:rsidRPr="00E221F6" w:rsidRDefault="00CB2D02" w:rsidP="00CB2D02">
            <w:pPr>
              <w:autoSpaceDE w:val="0"/>
              <w:autoSpaceDN w:val="0"/>
              <w:adjustRightInd w:val="0"/>
              <w:spacing w:after="0" w:line="240" w:lineRule="auto"/>
              <w:rPr>
                <w:rFonts w:ascii="Arial" w:hAnsi="Arial" w:cs="Arial"/>
                <w:b/>
                <w:i/>
                <w:color w:val="000000"/>
                <w:sz w:val="8"/>
                <w:szCs w:val="8"/>
                <w:lang w:val="uk-UA"/>
              </w:rPr>
            </w:pPr>
          </w:p>
        </w:tc>
      </w:tr>
    </w:tbl>
    <w:p w14:paraId="1192E533" w14:textId="77777777" w:rsidR="00E568A1" w:rsidRPr="00226DD7" w:rsidRDefault="00E568A1" w:rsidP="00226DD7">
      <w:pPr>
        <w:spacing w:after="0"/>
        <w:rPr>
          <w:vanish/>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1068"/>
        <w:gridCol w:w="1069"/>
        <w:gridCol w:w="1068"/>
        <w:gridCol w:w="1069"/>
        <w:gridCol w:w="1068"/>
        <w:gridCol w:w="1069"/>
        <w:gridCol w:w="1205"/>
        <w:gridCol w:w="1205"/>
        <w:gridCol w:w="1205"/>
        <w:gridCol w:w="1205"/>
        <w:gridCol w:w="1134"/>
        <w:gridCol w:w="1701"/>
      </w:tblGrid>
      <w:tr w:rsidR="00CB2D02" w:rsidRPr="00226DD7" w14:paraId="259ED0D8" w14:textId="77777777" w:rsidTr="00E221F6">
        <w:trPr>
          <w:trHeight w:val="1410"/>
        </w:trPr>
        <w:tc>
          <w:tcPr>
            <w:tcW w:w="1068" w:type="dxa"/>
            <w:vMerge w:val="restart"/>
          </w:tcPr>
          <w:p w14:paraId="4B6F816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p w14:paraId="0FC56A1A"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r w:rsidRPr="00E221F6">
              <w:rPr>
                <w:rFonts w:ascii="Arial" w:hAnsi="Arial" w:cs="Arial"/>
                <w:color w:val="000000"/>
                <w:sz w:val="18"/>
                <w:szCs w:val="18"/>
                <w:lang w:val="uk-UA"/>
              </w:rPr>
              <w:t xml:space="preserve">1 </w:t>
            </w:r>
            <w:r w:rsidRPr="00E221F6">
              <w:rPr>
                <w:rFonts w:ascii="Arial" w:hAnsi="Arial" w:cs="Arial"/>
                <w:color w:val="000000"/>
                <w:sz w:val="18"/>
                <w:szCs w:val="18"/>
                <w:vertAlign w:val="superscript"/>
                <w:lang w:val="en-US"/>
              </w:rPr>
              <w:t>21</w:t>
            </w:r>
          </w:p>
        </w:tc>
        <w:tc>
          <w:tcPr>
            <w:tcW w:w="1068" w:type="dxa"/>
            <w:vMerge w:val="restart"/>
          </w:tcPr>
          <w:p w14:paraId="238414B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1D1B0C25" w14:textId="5687B553" w:rsidR="00CB2D02" w:rsidRPr="00E221F6" w:rsidRDefault="00447616"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рандомі-зовані </w:t>
            </w:r>
            <w:r>
              <w:rPr>
                <w:rFonts w:ascii="Arial" w:hAnsi="Arial" w:cs="Arial"/>
                <w:color w:val="000000"/>
                <w:sz w:val="16"/>
                <w:szCs w:val="16"/>
                <w:lang w:val="uk-UA"/>
              </w:rPr>
              <w:t>дослідження</w:t>
            </w:r>
          </w:p>
        </w:tc>
        <w:tc>
          <w:tcPr>
            <w:tcW w:w="1069" w:type="dxa"/>
            <w:vMerge w:val="restart"/>
          </w:tcPr>
          <w:p w14:paraId="31AD973F"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en-US"/>
              </w:rPr>
            </w:pPr>
          </w:p>
          <w:p w14:paraId="6B90216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vertAlign w:val="superscript"/>
                <w:lang w:val="uk-UA"/>
              </w:rPr>
            </w:pPr>
            <w:r w:rsidRPr="00E221F6">
              <w:rPr>
                <w:rFonts w:ascii="Arial" w:hAnsi="Arial" w:cs="Arial"/>
                <w:color w:val="000000"/>
                <w:sz w:val="16"/>
                <w:szCs w:val="16"/>
                <w:lang w:val="uk-UA"/>
              </w:rPr>
              <w:t>серйоз-ний</w:t>
            </w:r>
            <w:r w:rsidRPr="00E221F6">
              <w:rPr>
                <w:rFonts w:ascii="Arial" w:hAnsi="Arial" w:cs="Arial"/>
                <w:color w:val="000000"/>
                <w:sz w:val="16"/>
                <w:szCs w:val="16"/>
                <w:vertAlign w:val="superscript"/>
                <w:lang w:val="en-US"/>
              </w:rPr>
              <w:t>2</w:t>
            </w:r>
            <w:r w:rsidRPr="00E221F6">
              <w:rPr>
                <w:rFonts w:ascii="Arial" w:hAnsi="Arial" w:cs="Arial"/>
                <w:color w:val="000000"/>
                <w:sz w:val="16"/>
                <w:szCs w:val="16"/>
                <w:vertAlign w:val="superscript"/>
                <w:lang w:val="uk-UA"/>
              </w:rPr>
              <w:t>2</w:t>
            </w:r>
          </w:p>
        </w:tc>
        <w:tc>
          <w:tcPr>
            <w:tcW w:w="1068" w:type="dxa"/>
            <w:vMerge w:val="restart"/>
          </w:tcPr>
          <w:p w14:paraId="135D69BF" w14:textId="77777777" w:rsidR="00CB2D02"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01AE8042"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немає серйозної </w:t>
            </w:r>
            <w:r>
              <w:rPr>
                <w:rFonts w:ascii="Arial" w:hAnsi="Arial" w:cs="Arial"/>
                <w:color w:val="000000"/>
                <w:sz w:val="16"/>
                <w:szCs w:val="16"/>
                <w:lang w:val="uk-UA"/>
              </w:rPr>
              <w:t>неузго-дженості</w:t>
            </w:r>
          </w:p>
        </w:tc>
        <w:tc>
          <w:tcPr>
            <w:tcW w:w="1069" w:type="dxa"/>
            <w:vMerge w:val="restart"/>
          </w:tcPr>
          <w:p w14:paraId="1E7B1C7A"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7400262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серйозна</w:t>
            </w:r>
            <w:r w:rsidRPr="00E221F6">
              <w:rPr>
                <w:rFonts w:ascii="Arial" w:hAnsi="Arial" w:cs="Arial"/>
                <w:color w:val="000000"/>
                <w:sz w:val="16"/>
                <w:szCs w:val="16"/>
                <w:vertAlign w:val="superscript"/>
                <w:lang w:val="en-US"/>
              </w:rPr>
              <w:t>16</w:t>
            </w:r>
          </w:p>
        </w:tc>
        <w:tc>
          <w:tcPr>
            <w:tcW w:w="1068" w:type="dxa"/>
            <w:vMerge w:val="restart"/>
          </w:tcPr>
          <w:p w14:paraId="44C468A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3DEEC6D3"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дуже серйозна</w:t>
            </w:r>
            <w:r w:rsidRPr="00E221F6">
              <w:rPr>
                <w:rFonts w:ascii="Arial" w:hAnsi="Arial" w:cs="Arial"/>
                <w:color w:val="000000"/>
                <w:sz w:val="16"/>
                <w:szCs w:val="16"/>
                <w:vertAlign w:val="superscript"/>
                <w:lang w:val="en-US"/>
              </w:rPr>
              <w:t xml:space="preserve"> </w:t>
            </w:r>
            <w:r w:rsidRPr="00E221F6">
              <w:rPr>
                <w:rFonts w:ascii="Arial" w:hAnsi="Arial" w:cs="Arial"/>
                <w:color w:val="000000"/>
                <w:sz w:val="16"/>
                <w:szCs w:val="16"/>
                <w:vertAlign w:val="superscript"/>
                <w:lang w:val="uk-UA"/>
              </w:rPr>
              <w:t>5</w:t>
            </w:r>
          </w:p>
        </w:tc>
        <w:tc>
          <w:tcPr>
            <w:tcW w:w="1069" w:type="dxa"/>
            <w:vMerge w:val="restart"/>
          </w:tcPr>
          <w:p w14:paraId="0C4E5A6E"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34EFF645"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немає</w:t>
            </w:r>
          </w:p>
        </w:tc>
        <w:tc>
          <w:tcPr>
            <w:tcW w:w="1205" w:type="dxa"/>
            <w:vMerge w:val="restart"/>
          </w:tcPr>
          <w:p w14:paraId="74C77367"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22A33B6B"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 xml:space="preserve">2 / 10 </w:t>
            </w:r>
            <w:r w:rsidRPr="00E221F6">
              <w:rPr>
                <w:rFonts w:ascii="Arial" w:hAnsi="Arial" w:cs="Arial"/>
                <w:color w:val="000000"/>
                <w:sz w:val="16"/>
                <w:szCs w:val="16"/>
                <w:vertAlign w:val="superscript"/>
                <w:lang w:val="uk-UA"/>
              </w:rPr>
              <w:t>20</w:t>
            </w:r>
          </w:p>
          <w:p w14:paraId="6B2B3B3B"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(20%)</w:t>
            </w:r>
          </w:p>
        </w:tc>
        <w:tc>
          <w:tcPr>
            <w:tcW w:w="1205" w:type="dxa"/>
          </w:tcPr>
          <w:p w14:paraId="748C2B95"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4070FBB9"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 xml:space="preserve">14 / 27 </w:t>
            </w:r>
            <w:r w:rsidRPr="00E221F6">
              <w:rPr>
                <w:rFonts w:ascii="Arial" w:hAnsi="Arial" w:cs="Arial"/>
                <w:color w:val="000000"/>
                <w:sz w:val="16"/>
                <w:szCs w:val="16"/>
                <w:vertAlign w:val="superscript"/>
                <w:lang w:val="uk-UA"/>
              </w:rPr>
              <w:t>20</w:t>
            </w:r>
          </w:p>
          <w:p w14:paraId="4975C72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 xml:space="preserve">(51.9%) </w:t>
            </w:r>
          </w:p>
        </w:tc>
        <w:tc>
          <w:tcPr>
            <w:tcW w:w="1205" w:type="dxa"/>
            <w:vMerge w:val="restart"/>
          </w:tcPr>
          <w:p w14:paraId="46658F3D"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4134E4DC"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en-US"/>
              </w:rPr>
            </w:pPr>
            <w:r w:rsidRPr="00E221F6">
              <w:rPr>
                <w:rFonts w:ascii="Arial" w:hAnsi="Arial" w:cs="Arial"/>
                <w:color w:val="000000"/>
                <w:sz w:val="17"/>
                <w:szCs w:val="17"/>
                <w:lang w:val="en-US"/>
              </w:rPr>
              <w:t>RR 0.3</w:t>
            </w:r>
            <w:r w:rsidRPr="00E221F6">
              <w:rPr>
                <w:rFonts w:ascii="Arial" w:hAnsi="Arial" w:cs="Arial"/>
                <w:color w:val="000000"/>
                <w:sz w:val="17"/>
                <w:szCs w:val="17"/>
                <w:lang w:val="uk-UA"/>
              </w:rPr>
              <w:t>9</w:t>
            </w:r>
            <w:r w:rsidRPr="00E221F6">
              <w:rPr>
                <w:rFonts w:ascii="Arial" w:hAnsi="Arial" w:cs="Arial"/>
                <w:color w:val="000000"/>
                <w:sz w:val="17"/>
                <w:szCs w:val="17"/>
                <w:lang w:val="en-US"/>
              </w:rPr>
              <w:t xml:space="preserve"> </w:t>
            </w:r>
          </w:p>
          <w:p w14:paraId="253CB3A0" w14:textId="77777777" w:rsidR="00CB2D02" w:rsidRPr="00E221F6" w:rsidRDefault="00CB2D02" w:rsidP="00CB2D02">
            <w:pPr>
              <w:autoSpaceDE w:val="0"/>
              <w:autoSpaceDN w:val="0"/>
              <w:adjustRightInd w:val="0"/>
              <w:spacing w:after="0" w:line="240" w:lineRule="auto"/>
              <w:rPr>
                <w:rFonts w:ascii="Arial" w:hAnsi="Arial" w:cs="Arial"/>
                <w:color w:val="000000"/>
                <w:sz w:val="17"/>
                <w:szCs w:val="17"/>
                <w:lang w:val="uk-UA"/>
              </w:rPr>
            </w:pPr>
            <w:r w:rsidRPr="00E221F6">
              <w:rPr>
                <w:rFonts w:ascii="Arial" w:hAnsi="Arial" w:cs="Arial"/>
                <w:color w:val="000000"/>
                <w:sz w:val="17"/>
                <w:szCs w:val="17"/>
                <w:lang w:val="en-US"/>
              </w:rPr>
              <w:t>(0.1</w:t>
            </w:r>
            <w:r w:rsidRPr="00E221F6">
              <w:rPr>
                <w:rFonts w:ascii="Arial" w:hAnsi="Arial" w:cs="Arial"/>
                <w:color w:val="000000"/>
                <w:sz w:val="17"/>
                <w:szCs w:val="17"/>
                <w:lang w:val="uk-UA"/>
              </w:rPr>
              <w:t xml:space="preserve">1 </w:t>
            </w:r>
            <w:r w:rsidRPr="00E221F6">
              <w:rPr>
                <w:rFonts w:ascii="Arial" w:hAnsi="Arial" w:cs="Arial"/>
                <w:color w:val="000000"/>
                <w:sz w:val="17"/>
                <w:szCs w:val="17"/>
              </w:rPr>
              <w:t>до</w:t>
            </w:r>
            <w:r w:rsidRPr="00E221F6">
              <w:rPr>
                <w:rFonts w:ascii="Arial" w:hAnsi="Arial" w:cs="Arial"/>
                <w:color w:val="000000"/>
                <w:sz w:val="17"/>
                <w:szCs w:val="17"/>
                <w:lang w:val="en-US"/>
              </w:rPr>
              <w:t xml:space="preserve"> 1.</w:t>
            </w:r>
            <w:r w:rsidRPr="00E221F6">
              <w:rPr>
                <w:rFonts w:ascii="Arial" w:hAnsi="Arial" w:cs="Arial"/>
                <w:color w:val="000000"/>
                <w:sz w:val="17"/>
                <w:szCs w:val="17"/>
                <w:lang w:val="uk-UA"/>
              </w:rPr>
              <w:t>40</w:t>
            </w:r>
            <w:r w:rsidRPr="00E221F6">
              <w:rPr>
                <w:rFonts w:ascii="Arial" w:hAnsi="Arial" w:cs="Arial"/>
                <w:color w:val="000000"/>
                <w:sz w:val="17"/>
                <w:szCs w:val="17"/>
                <w:lang w:val="en-US"/>
              </w:rPr>
              <w:t>)</w:t>
            </w:r>
            <w:r w:rsidRPr="00E221F6">
              <w:rPr>
                <w:rFonts w:ascii="Arial" w:hAnsi="Arial" w:cs="Arial"/>
                <w:color w:val="000000"/>
                <w:sz w:val="17"/>
                <w:szCs w:val="17"/>
                <w:vertAlign w:val="superscript"/>
                <w:lang w:val="uk-UA"/>
              </w:rPr>
              <w:t>23</w:t>
            </w:r>
          </w:p>
          <w:p w14:paraId="24C3C397"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tc>
        <w:tc>
          <w:tcPr>
            <w:tcW w:w="1205" w:type="dxa"/>
          </w:tcPr>
          <w:p w14:paraId="05332FC2"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p w14:paraId="17BBC5EC"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Менше 32 на 100  починаючи від менше 46 до на 21 більше)</w:t>
            </w:r>
          </w:p>
        </w:tc>
        <w:tc>
          <w:tcPr>
            <w:tcW w:w="1134" w:type="dxa"/>
            <w:vMerge w:val="restart"/>
          </w:tcPr>
          <w:p w14:paraId="19A4BB2A"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p w14:paraId="5FACF83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+ООО</w:t>
            </w:r>
          </w:p>
          <w:p w14:paraId="09BB84DE"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r w:rsidRPr="00E221F6">
              <w:rPr>
                <w:rFonts w:ascii="Arial" w:hAnsi="Arial" w:cs="Arial"/>
                <w:color w:val="000000"/>
                <w:sz w:val="16"/>
                <w:szCs w:val="16"/>
                <w:lang w:val="uk-UA"/>
              </w:rPr>
              <w:t>дуже низька</w:t>
            </w:r>
          </w:p>
        </w:tc>
        <w:tc>
          <w:tcPr>
            <w:tcW w:w="1701" w:type="dxa"/>
            <w:vMerge w:val="restart"/>
          </w:tcPr>
          <w:p w14:paraId="79E4EA2C"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p>
          <w:p w14:paraId="5DF89CA8" w14:textId="2A9EE9ED" w:rsidR="00CB2D02" w:rsidRPr="00E221F6" w:rsidRDefault="00F238E3" w:rsidP="00CB2D02">
            <w:pPr>
              <w:autoSpaceDE w:val="0"/>
              <w:autoSpaceDN w:val="0"/>
              <w:adjustRightInd w:val="0"/>
              <w:spacing w:after="0" w:line="240" w:lineRule="auto"/>
              <w:jc w:val="both"/>
              <w:rPr>
                <w:rFonts w:ascii="Arial" w:hAnsi="Arial" w:cs="Arial"/>
                <w:color w:val="000000"/>
                <w:sz w:val="17"/>
                <w:szCs w:val="17"/>
                <w:lang w:val="uk-UA"/>
              </w:rPr>
            </w:pPr>
            <w:r>
              <w:rPr>
                <w:rFonts w:ascii="Arial" w:hAnsi="Arial" w:cs="Arial"/>
                <w:color w:val="000000"/>
                <w:sz w:val="17"/>
                <w:szCs w:val="17"/>
                <w:lang w:val="uk-UA"/>
              </w:rPr>
              <w:t>Дуже важливо</w:t>
            </w:r>
          </w:p>
        </w:tc>
      </w:tr>
      <w:tr w:rsidR="00CB2D02" w:rsidRPr="00F50CA3" w14:paraId="289F5445" w14:textId="77777777" w:rsidTr="00E221F6">
        <w:trPr>
          <w:trHeight w:val="783"/>
        </w:trPr>
        <w:tc>
          <w:tcPr>
            <w:tcW w:w="1068" w:type="dxa"/>
            <w:vMerge/>
          </w:tcPr>
          <w:p w14:paraId="58BEB2F4" w14:textId="77777777" w:rsidR="00CB2D02" w:rsidRPr="00E221F6" w:rsidRDefault="00CB2D02" w:rsidP="00CB2D02">
            <w:pPr>
              <w:autoSpaceDE w:val="0"/>
              <w:autoSpaceDN w:val="0"/>
              <w:adjustRightInd w:val="0"/>
              <w:spacing w:after="0" w:line="240" w:lineRule="auto"/>
              <w:jc w:val="both"/>
              <w:rPr>
                <w:rFonts w:ascii="Arial" w:hAnsi="Arial" w:cs="Arial"/>
                <w:color w:val="000000"/>
                <w:sz w:val="18"/>
                <w:szCs w:val="18"/>
                <w:lang w:val="uk-UA"/>
              </w:rPr>
            </w:pPr>
          </w:p>
        </w:tc>
        <w:tc>
          <w:tcPr>
            <w:tcW w:w="1068" w:type="dxa"/>
            <w:vMerge/>
          </w:tcPr>
          <w:p w14:paraId="26E4153B"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069" w:type="dxa"/>
            <w:vMerge/>
          </w:tcPr>
          <w:p w14:paraId="170F4311"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en-US"/>
              </w:rPr>
            </w:pPr>
          </w:p>
        </w:tc>
        <w:tc>
          <w:tcPr>
            <w:tcW w:w="1068" w:type="dxa"/>
            <w:vMerge/>
          </w:tcPr>
          <w:p w14:paraId="3F8C935B"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069" w:type="dxa"/>
            <w:vMerge/>
          </w:tcPr>
          <w:p w14:paraId="0EFDDC09"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068" w:type="dxa"/>
            <w:vMerge/>
          </w:tcPr>
          <w:p w14:paraId="3BEEEDCE"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069" w:type="dxa"/>
            <w:vMerge/>
          </w:tcPr>
          <w:p w14:paraId="5825DBF0"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205" w:type="dxa"/>
            <w:vMerge/>
          </w:tcPr>
          <w:p w14:paraId="3F7379CD"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tc>
        <w:tc>
          <w:tcPr>
            <w:tcW w:w="1205" w:type="dxa"/>
          </w:tcPr>
          <w:p w14:paraId="4C1491BA"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r w:rsidRPr="00E221F6">
              <w:rPr>
                <w:rFonts w:ascii="Arial" w:hAnsi="Arial" w:cs="Arial"/>
                <w:color w:val="000000"/>
                <w:sz w:val="16"/>
                <w:szCs w:val="16"/>
                <w:lang w:val="uk-UA"/>
              </w:rPr>
              <w:t xml:space="preserve">7 / 27 </w:t>
            </w:r>
          </w:p>
          <w:p w14:paraId="4C2767C2"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vertAlign w:val="superscript"/>
                <w:lang w:val="uk-UA"/>
              </w:rPr>
            </w:pPr>
            <w:r w:rsidRPr="00E221F6">
              <w:rPr>
                <w:rFonts w:ascii="Arial" w:hAnsi="Arial" w:cs="Arial"/>
                <w:color w:val="000000"/>
                <w:sz w:val="16"/>
                <w:szCs w:val="16"/>
                <w:lang w:val="uk-UA"/>
              </w:rPr>
              <w:t xml:space="preserve">(25.9%) </w:t>
            </w:r>
            <w:r w:rsidRPr="00E221F6">
              <w:rPr>
                <w:rFonts w:ascii="Arial" w:hAnsi="Arial" w:cs="Arial"/>
                <w:color w:val="000000"/>
                <w:sz w:val="16"/>
                <w:szCs w:val="16"/>
                <w:vertAlign w:val="superscript"/>
                <w:lang w:val="uk-UA"/>
              </w:rPr>
              <w:t>24</w:t>
            </w:r>
          </w:p>
        </w:tc>
        <w:tc>
          <w:tcPr>
            <w:tcW w:w="1205" w:type="dxa"/>
            <w:vMerge/>
          </w:tcPr>
          <w:p w14:paraId="1EC4597E" w14:textId="77777777" w:rsidR="00CB2D02" w:rsidRPr="00E221F6" w:rsidRDefault="00CB2D02" w:rsidP="00CB2D02">
            <w:pPr>
              <w:autoSpaceDE w:val="0"/>
              <w:autoSpaceDN w:val="0"/>
              <w:adjustRightInd w:val="0"/>
              <w:spacing w:after="0" w:line="240" w:lineRule="auto"/>
              <w:rPr>
                <w:rFonts w:ascii="Arial" w:hAnsi="Arial" w:cs="Arial"/>
                <w:color w:val="000000"/>
                <w:sz w:val="16"/>
                <w:szCs w:val="16"/>
                <w:lang w:val="uk-UA"/>
              </w:rPr>
            </w:pPr>
          </w:p>
        </w:tc>
        <w:tc>
          <w:tcPr>
            <w:tcW w:w="1205" w:type="dxa"/>
          </w:tcPr>
          <w:p w14:paraId="6DA9EC58" w14:textId="77777777" w:rsidR="00CB2D02" w:rsidRPr="00E221F6" w:rsidRDefault="00CB2D02" w:rsidP="00CB2D02">
            <w:pPr>
              <w:autoSpaceDE w:val="0"/>
              <w:autoSpaceDN w:val="0"/>
              <w:adjustRightInd w:val="0"/>
              <w:spacing w:after="0" w:line="240" w:lineRule="auto"/>
              <w:rPr>
                <w:rFonts w:ascii="Times New Roman" w:hAnsi="Times New Roman" w:cs="Arial"/>
                <w:color w:val="000000"/>
                <w:sz w:val="16"/>
                <w:szCs w:val="16"/>
                <w:vertAlign w:val="superscript"/>
                <w:lang w:val="uk-UA"/>
              </w:rPr>
            </w:pPr>
            <w:r w:rsidRPr="00E221F6">
              <w:rPr>
                <w:rFonts w:ascii="Arial" w:hAnsi="Arial" w:cs="Arial"/>
                <w:color w:val="000000"/>
                <w:sz w:val="16"/>
                <w:szCs w:val="16"/>
                <w:lang w:val="uk-UA"/>
              </w:rPr>
              <w:t xml:space="preserve">на 6 менше (від на 22 меньше до на 34 більше) </w:t>
            </w:r>
            <w:r w:rsidRPr="00E221F6">
              <w:rPr>
                <w:rFonts w:ascii="Times New Roman" w:hAnsi="Times New Roman" w:cs="Arial"/>
                <w:color w:val="000000"/>
                <w:sz w:val="16"/>
                <w:szCs w:val="16"/>
                <w:vertAlign w:val="superscript"/>
                <w:lang w:val="uk-UA"/>
              </w:rPr>
              <w:t>24</w:t>
            </w:r>
          </w:p>
        </w:tc>
        <w:tc>
          <w:tcPr>
            <w:tcW w:w="1134" w:type="dxa"/>
            <w:vMerge/>
          </w:tcPr>
          <w:p w14:paraId="2ADCE74D" w14:textId="77777777" w:rsidR="00CB2D02" w:rsidRPr="00E221F6" w:rsidRDefault="00CB2D02" w:rsidP="00CB2D02">
            <w:pPr>
              <w:autoSpaceDE w:val="0"/>
              <w:autoSpaceDN w:val="0"/>
              <w:adjustRightInd w:val="0"/>
              <w:spacing w:after="0" w:line="240" w:lineRule="auto"/>
              <w:jc w:val="both"/>
              <w:rPr>
                <w:rFonts w:ascii="Arial" w:hAnsi="Arial" w:cs="Arial"/>
                <w:color w:val="000000"/>
                <w:sz w:val="16"/>
                <w:szCs w:val="16"/>
                <w:lang w:val="uk-UA"/>
              </w:rPr>
            </w:pPr>
          </w:p>
        </w:tc>
        <w:tc>
          <w:tcPr>
            <w:tcW w:w="1701" w:type="dxa"/>
            <w:vMerge/>
          </w:tcPr>
          <w:p w14:paraId="77A24E36" w14:textId="77777777" w:rsidR="00CB2D02" w:rsidRPr="00E221F6" w:rsidRDefault="00CB2D02" w:rsidP="00CB2D02">
            <w:pPr>
              <w:autoSpaceDE w:val="0"/>
              <w:autoSpaceDN w:val="0"/>
              <w:adjustRightInd w:val="0"/>
              <w:spacing w:after="0" w:line="240" w:lineRule="auto"/>
              <w:jc w:val="both"/>
              <w:rPr>
                <w:rFonts w:ascii="Arial" w:hAnsi="Arial" w:cs="Arial"/>
                <w:color w:val="000000"/>
                <w:sz w:val="17"/>
                <w:szCs w:val="17"/>
                <w:lang w:val="uk-UA"/>
              </w:rPr>
            </w:pPr>
          </w:p>
        </w:tc>
      </w:tr>
    </w:tbl>
    <w:p w14:paraId="0370AF37" w14:textId="77777777" w:rsidR="00E568A1" w:rsidRPr="00F50CA3" w:rsidRDefault="00E568A1" w:rsidP="0037724F">
      <w:pPr>
        <w:autoSpaceDE w:val="0"/>
        <w:autoSpaceDN w:val="0"/>
        <w:adjustRightInd w:val="0"/>
        <w:spacing w:after="0" w:line="240" w:lineRule="auto"/>
        <w:jc w:val="both"/>
        <w:rPr>
          <w:rFonts w:ascii="Arial" w:hAnsi="Arial" w:cs="Arial"/>
          <w:color w:val="000000"/>
          <w:sz w:val="18"/>
          <w:szCs w:val="18"/>
        </w:rPr>
      </w:pPr>
    </w:p>
    <w:p w14:paraId="14FE83C9" w14:textId="0F58755B" w:rsidR="00E568A1" w:rsidRPr="00203408" w:rsidRDefault="00203408" w:rsidP="00246A3F">
      <w:pPr>
        <w:autoSpaceDE w:val="0"/>
        <w:autoSpaceDN w:val="0"/>
        <w:adjustRightInd w:val="0"/>
        <w:spacing w:after="0" w:line="240" w:lineRule="auto"/>
        <w:contextualSpacing/>
        <w:jc w:val="both"/>
        <w:rPr>
          <w:rFonts w:ascii="Arial" w:hAnsi="Arial" w:cs="Arial"/>
          <w:color w:val="000000"/>
          <w:sz w:val="18"/>
          <w:szCs w:val="18"/>
        </w:rPr>
      </w:pPr>
      <w:r w:rsidRPr="00246A3F">
        <w:rPr>
          <w:rFonts w:ascii="Arial" w:hAnsi="Arial" w:cs="Arial"/>
          <w:b/>
          <w:color w:val="000000"/>
          <w:sz w:val="18"/>
          <w:szCs w:val="18"/>
        </w:rPr>
        <w:t xml:space="preserve">1 </w:t>
      </w:r>
      <w:r w:rsidRPr="00203408">
        <w:rPr>
          <w:rFonts w:ascii="Arial" w:hAnsi="Arial" w:cs="Arial"/>
          <w:color w:val="000000"/>
          <w:sz w:val="18"/>
          <w:szCs w:val="18"/>
        </w:rPr>
        <w:t xml:space="preserve">  </w:t>
      </w:r>
      <w:r w:rsidRPr="00B21F5A">
        <w:rPr>
          <w:rFonts w:ascii="Arial" w:hAnsi="Arial" w:cs="Arial"/>
          <w:color w:val="000000"/>
          <w:sz w:val="18"/>
          <w:szCs w:val="18"/>
          <w:lang w:val="en-US"/>
        </w:rPr>
        <w:t>mITT</w:t>
      </w:r>
      <w:r w:rsidRPr="00B21F5A">
        <w:rPr>
          <w:rFonts w:ascii="Arial" w:hAnsi="Arial" w:cs="Arial"/>
          <w:color w:val="000000"/>
          <w:sz w:val="18"/>
          <w:szCs w:val="18"/>
        </w:rPr>
        <w:t xml:space="preserve"> – модифікована </w:t>
      </w:r>
      <w:r w:rsidRPr="00B21F5A">
        <w:rPr>
          <w:rFonts w:ascii="Arial" w:hAnsi="Arial" w:cs="Arial"/>
          <w:color w:val="000000"/>
          <w:sz w:val="18"/>
          <w:szCs w:val="18"/>
          <w:lang w:val="uk-UA"/>
        </w:rPr>
        <w:t xml:space="preserve"> ІТТ популяція</w:t>
      </w:r>
      <w:r w:rsidR="00E568A1" w:rsidRPr="00B21F5A">
        <w:rPr>
          <w:rFonts w:ascii="Arial" w:hAnsi="Arial" w:cs="Arial"/>
          <w:color w:val="000000"/>
          <w:sz w:val="18"/>
          <w:szCs w:val="18"/>
        </w:rPr>
        <w:t xml:space="preserve"> </w:t>
      </w:r>
      <w:r w:rsidR="00B21F5A" w:rsidRPr="00B21F5A">
        <w:rPr>
          <w:rFonts w:ascii="Arial" w:hAnsi="Arial" w:cs="Arial"/>
          <w:color w:val="000000"/>
          <w:sz w:val="18"/>
          <w:szCs w:val="18"/>
        </w:rPr>
        <w:t xml:space="preserve">дослідження </w:t>
      </w:r>
      <w:r w:rsidR="00E568A1" w:rsidRPr="00B21F5A">
        <w:rPr>
          <w:rFonts w:ascii="Arial" w:hAnsi="Arial" w:cs="Arial"/>
          <w:color w:val="000000"/>
          <w:sz w:val="18"/>
          <w:szCs w:val="18"/>
          <w:lang w:val="en-US"/>
        </w:rPr>
        <w:t>C</w:t>
      </w:r>
      <w:r w:rsidR="00E568A1" w:rsidRPr="00B21F5A">
        <w:rPr>
          <w:rFonts w:ascii="Arial" w:hAnsi="Arial" w:cs="Arial"/>
          <w:color w:val="000000"/>
          <w:sz w:val="18"/>
          <w:szCs w:val="18"/>
        </w:rPr>
        <w:t xml:space="preserve">208 </w:t>
      </w:r>
      <w:r w:rsidR="00B21F5A" w:rsidRPr="00B21F5A">
        <w:rPr>
          <w:rFonts w:ascii="Arial" w:hAnsi="Arial" w:cs="Arial"/>
          <w:color w:val="000000"/>
          <w:sz w:val="18"/>
          <w:szCs w:val="18"/>
        </w:rPr>
        <w:t xml:space="preserve">складалася з </w:t>
      </w:r>
      <w:r w:rsidR="00E568A1" w:rsidRPr="00B21F5A">
        <w:rPr>
          <w:rFonts w:ascii="Arial" w:hAnsi="Arial" w:cs="Arial"/>
          <w:color w:val="000000"/>
          <w:sz w:val="18"/>
          <w:szCs w:val="18"/>
        </w:rPr>
        <w:t xml:space="preserve">66 пацієнтів у кожній </w:t>
      </w:r>
      <w:r w:rsidR="00B21F5A" w:rsidRPr="00B21F5A">
        <w:rPr>
          <w:rFonts w:ascii="Arial" w:hAnsi="Arial" w:cs="Arial"/>
          <w:color w:val="000000"/>
          <w:sz w:val="18"/>
          <w:szCs w:val="18"/>
        </w:rPr>
        <w:t xml:space="preserve">рандомізованій </w:t>
      </w:r>
      <w:r w:rsidR="00E568A1" w:rsidRPr="00B21F5A">
        <w:rPr>
          <w:rFonts w:ascii="Arial" w:hAnsi="Arial" w:cs="Arial"/>
          <w:color w:val="000000"/>
          <w:sz w:val="18"/>
          <w:szCs w:val="18"/>
        </w:rPr>
        <w:t>групі після виключення 13 пацієнтів (16,5%), які отримували лікування бедаквіліном, і 15 осіб (18,5%), які отримували ліку</w:t>
      </w:r>
      <w:r w:rsidR="00B21F5A" w:rsidRPr="00B21F5A">
        <w:rPr>
          <w:rFonts w:ascii="Arial" w:hAnsi="Arial" w:cs="Arial"/>
          <w:color w:val="000000"/>
          <w:sz w:val="18"/>
          <w:szCs w:val="18"/>
        </w:rPr>
        <w:t>вання плацебо, і які не мали МР</w:t>
      </w:r>
      <w:r w:rsidR="00E568A1" w:rsidRPr="00B21F5A">
        <w:rPr>
          <w:rFonts w:ascii="Arial" w:hAnsi="Arial" w:cs="Arial"/>
          <w:color w:val="000000"/>
          <w:sz w:val="18"/>
          <w:szCs w:val="18"/>
        </w:rPr>
        <w:t xml:space="preserve">- або попередньо не мали </w:t>
      </w:r>
      <w:r w:rsidR="003229B4" w:rsidRPr="00B21F5A">
        <w:rPr>
          <w:rFonts w:ascii="Arial" w:hAnsi="Arial" w:cs="Arial"/>
          <w:color w:val="000000"/>
          <w:sz w:val="18"/>
          <w:szCs w:val="18"/>
        </w:rPr>
        <w:t>РР ТБ</w:t>
      </w:r>
      <w:r w:rsidR="00E568A1" w:rsidRPr="00B21F5A">
        <w:rPr>
          <w:rFonts w:ascii="Arial" w:hAnsi="Arial" w:cs="Arial"/>
          <w:color w:val="000000"/>
          <w:sz w:val="18"/>
          <w:szCs w:val="18"/>
        </w:rPr>
        <w:t xml:space="preserve"> на базовому рівні, або для яких результати </w:t>
      </w:r>
      <w:r w:rsidR="00E568A1" w:rsidRPr="00B21F5A">
        <w:rPr>
          <w:rFonts w:ascii="Arial" w:hAnsi="Arial" w:cs="Arial"/>
          <w:color w:val="000000"/>
          <w:sz w:val="18"/>
          <w:szCs w:val="18"/>
          <w:lang w:val="en-US"/>
        </w:rPr>
        <w:t>MGIT</w:t>
      </w:r>
      <w:r w:rsidR="00E568A1" w:rsidRPr="00B21F5A">
        <w:rPr>
          <w:rFonts w:ascii="Arial" w:hAnsi="Arial" w:cs="Arial"/>
          <w:color w:val="000000"/>
          <w:sz w:val="18"/>
          <w:szCs w:val="18"/>
        </w:rPr>
        <w:t xml:space="preserve"> (МГІТ, індикаторна трубка росту мікобактерій) вважалися такими, що </w:t>
      </w:r>
      <w:r w:rsidR="00B21F5A" w:rsidRPr="00B21F5A">
        <w:rPr>
          <w:rFonts w:ascii="Arial" w:hAnsi="Arial" w:cs="Arial"/>
          <w:color w:val="000000"/>
          <w:sz w:val="18"/>
          <w:szCs w:val="18"/>
        </w:rPr>
        <w:t>не піддаються оцінці</w:t>
      </w:r>
      <w:r w:rsidR="00E568A1" w:rsidRPr="00B21F5A">
        <w:rPr>
          <w:rFonts w:ascii="Arial" w:hAnsi="Arial" w:cs="Arial"/>
          <w:color w:val="000000"/>
          <w:sz w:val="18"/>
          <w:szCs w:val="18"/>
        </w:rPr>
        <w:t>.</w:t>
      </w:r>
    </w:p>
    <w:p w14:paraId="754634B8" w14:textId="6789C7D9" w:rsidR="00E568A1" w:rsidRPr="009604A0" w:rsidRDefault="00B21F5A" w:rsidP="00246A3F">
      <w:pPr>
        <w:autoSpaceDE w:val="0"/>
        <w:autoSpaceDN w:val="0"/>
        <w:adjustRightInd w:val="0"/>
        <w:spacing w:after="0" w:line="240" w:lineRule="auto"/>
        <w:contextualSpacing/>
        <w:jc w:val="both"/>
        <w:rPr>
          <w:rFonts w:ascii="Arial" w:hAnsi="Arial" w:cs="Arial"/>
          <w:color w:val="000000"/>
          <w:sz w:val="18"/>
          <w:szCs w:val="18"/>
        </w:rPr>
      </w:pPr>
      <w:r w:rsidRPr="00246A3F">
        <w:rPr>
          <w:rFonts w:ascii="Arial" w:hAnsi="Arial" w:cs="Arial"/>
          <w:b/>
          <w:color w:val="000000"/>
          <w:sz w:val="18"/>
          <w:szCs w:val="18"/>
        </w:rPr>
        <w:t>2</w:t>
      </w:r>
      <w:r>
        <w:rPr>
          <w:rFonts w:ascii="Arial" w:hAnsi="Arial" w:cs="Arial"/>
          <w:color w:val="000000"/>
          <w:sz w:val="18"/>
          <w:szCs w:val="18"/>
        </w:rPr>
        <w:t xml:space="preserve">  Повне одужання визначалося як</w:t>
      </w:r>
      <w:r w:rsidR="00E568A1" w:rsidRPr="009604A0">
        <w:rPr>
          <w:rFonts w:ascii="Arial" w:hAnsi="Arial" w:cs="Arial"/>
          <w:color w:val="000000"/>
          <w:sz w:val="18"/>
          <w:szCs w:val="18"/>
        </w:rPr>
        <w:t xml:space="preserve"> 5 послідовних негативних кул</w:t>
      </w:r>
      <w:r>
        <w:rPr>
          <w:rFonts w:ascii="Arial" w:hAnsi="Arial" w:cs="Arial"/>
          <w:color w:val="000000"/>
          <w:sz w:val="18"/>
          <w:szCs w:val="18"/>
        </w:rPr>
        <w:t xml:space="preserve">ьтур зі зразків, зібраних через проміжок часу у щонайменше </w:t>
      </w:r>
      <w:r w:rsidR="00E568A1" w:rsidRPr="009604A0">
        <w:rPr>
          <w:rFonts w:ascii="Arial" w:hAnsi="Arial" w:cs="Arial"/>
          <w:color w:val="000000"/>
          <w:sz w:val="18"/>
          <w:szCs w:val="18"/>
        </w:rPr>
        <w:t xml:space="preserve">30 днів протягом останніх 12 місяців лікування, АБО, якщо тільки одна культура виявилася позитивною протягом цього періоду, </w:t>
      </w:r>
      <w:r>
        <w:rPr>
          <w:rFonts w:ascii="Arial" w:hAnsi="Arial" w:cs="Arial"/>
          <w:color w:val="000000"/>
          <w:sz w:val="18"/>
          <w:szCs w:val="18"/>
        </w:rPr>
        <w:t>з 3 послідовними негативними культурами</w:t>
      </w:r>
      <w:r w:rsidR="00E568A1" w:rsidRPr="009604A0">
        <w:rPr>
          <w:rFonts w:ascii="Arial" w:hAnsi="Arial" w:cs="Arial"/>
          <w:color w:val="000000"/>
          <w:sz w:val="18"/>
          <w:szCs w:val="18"/>
        </w:rPr>
        <w:t xml:space="preserve"> </w:t>
      </w:r>
      <w:r>
        <w:rPr>
          <w:rFonts w:ascii="Arial" w:hAnsi="Arial" w:cs="Arial"/>
          <w:color w:val="000000"/>
          <w:sz w:val="18"/>
          <w:szCs w:val="18"/>
        </w:rPr>
        <w:t xml:space="preserve">зібраними через проміжок часу у щонайменше </w:t>
      </w:r>
      <w:r w:rsidRPr="009604A0">
        <w:rPr>
          <w:rFonts w:ascii="Arial" w:hAnsi="Arial" w:cs="Arial"/>
          <w:color w:val="000000"/>
          <w:sz w:val="18"/>
          <w:szCs w:val="18"/>
        </w:rPr>
        <w:t>30 днів</w:t>
      </w:r>
      <w:r w:rsidR="00E568A1" w:rsidRPr="009604A0">
        <w:rPr>
          <w:rFonts w:ascii="Arial" w:hAnsi="Arial" w:cs="Arial"/>
          <w:color w:val="000000"/>
          <w:sz w:val="18"/>
          <w:szCs w:val="18"/>
        </w:rPr>
        <w:t>.</w:t>
      </w:r>
    </w:p>
    <w:p w14:paraId="30E209E7" w14:textId="0838E846" w:rsidR="00E568A1" w:rsidRDefault="00540ECA" w:rsidP="00246A3F">
      <w:pPr>
        <w:autoSpaceDE w:val="0"/>
        <w:autoSpaceDN w:val="0"/>
        <w:adjustRightInd w:val="0"/>
        <w:spacing w:after="0" w:line="240" w:lineRule="auto"/>
        <w:contextualSpacing/>
        <w:jc w:val="both"/>
        <w:rPr>
          <w:rFonts w:ascii="Arial" w:hAnsi="Arial" w:cs="Arial"/>
          <w:color w:val="000000"/>
          <w:sz w:val="18"/>
          <w:szCs w:val="18"/>
        </w:rPr>
      </w:pPr>
      <w:r w:rsidRPr="00246A3F">
        <w:rPr>
          <w:rFonts w:ascii="Arial" w:hAnsi="Arial" w:cs="Arial"/>
          <w:b/>
          <w:color w:val="000000"/>
          <w:sz w:val="18"/>
          <w:szCs w:val="18"/>
        </w:rPr>
        <w:t>3</w:t>
      </w:r>
      <w:r>
        <w:rPr>
          <w:rFonts w:ascii="Arial" w:hAnsi="Arial" w:cs="Arial"/>
          <w:color w:val="000000"/>
          <w:sz w:val="18"/>
          <w:szCs w:val="18"/>
        </w:rPr>
        <w:t xml:space="preserve"> Презентація</w:t>
      </w:r>
      <w:r w:rsidR="00E568A1" w:rsidRPr="003D4BED">
        <w:rPr>
          <w:rFonts w:ascii="Arial" w:hAnsi="Arial" w:cs="Arial"/>
          <w:color w:val="000000"/>
          <w:sz w:val="18"/>
          <w:szCs w:val="18"/>
        </w:rPr>
        <w:t xml:space="preserve"> даних дослідження, наданий Янссеном після засідання </w:t>
      </w:r>
      <w:r>
        <w:rPr>
          <w:rFonts w:ascii="Arial" w:hAnsi="Arial" w:cs="Arial"/>
          <w:color w:val="000000"/>
          <w:sz w:val="18"/>
          <w:szCs w:val="18"/>
          <w:lang w:val="en-US"/>
        </w:rPr>
        <w:t>US FDA</w:t>
      </w:r>
      <w:r w:rsidR="00006C7A">
        <w:rPr>
          <w:rFonts w:ascii="Arial" w:hAnsi="Arial" w:cs="Arial"/>
          <w:color w:val="000000"/>
          <w:sz w:val="18"/>
          <w:szCs w:val="18"/>
        </w:rPr>
        <w:t>. У цій презентації</w:t>
      </w:r>
      <w:r w:rsidR="00E568A1" w:rsidRPr="003D4BED">
        <w:rPr>
          <w:rFonts w:ascii="Arial" w:hAnsi="Arial" w:cs="Arial"/>
          <w:color w:val="000000"/>
          <w:sz w:val="18"/>
          <w:szCs w:val="18"/>
        </w:rPr>
        <w:t xml:space="preserve"> згадується «успіх лікування», але компанія далі надає пояснення, що було використан</w:t>
      </w:r>
      <w:r w:rsidR="00DB04D4">
        <w:rPr>
          <w:rFonts w:ascii="Arial" w:hAnsi="Arial" w:cs="Arial"/>
          <w:color w:val="000000"/>
          <w:sz w:val="18"/>
          <w:szCs w:val="18"/>
        </w:rPr>
        <w:t xml:space="preserve">о чітке визначення ВООЗ терміну </w:t>
      </w:r>
      <w:r w:rsidR="00E568A1" w:rsidRPr="003D4BED">
        <w:rPr>
          <w:rFonts w:ascii="Arial" w:hAnsi="Arial" w:cs="Arial"/>
          <w:color w:val="000000"/>
          <w:sz w:val="18"/>
          <w:szCs w:val="18"/>
        </w:rPr>
        <w:t>«одужання».</w:t>
      </w:r>
    </w:p>
    <w:p w14:paraId="7BCC42B6" w14:textId="0A939FFA" w:rsidR="00E568A1" w:rsidRPr="003D4BED" w:rsidRDefault="00E568A1" w:rsidP="00246A3F">
      <w:pPr>
        <w:autoSpaceDE w:val="0"/>
        <w:autoSpaceDN w:val="0"/>
        <w:adjustRightInd w:val="0"/>
        <w:spacing w:after="0" w:line="240" w:lineRule="auto"/>
        <w:contextualSpacing/>
        <w:jc w:val="both"/>
        <w:outlineLvl w:val="0"/>
        <w:rPr>
          <w:rFonts w:ascii="Arial" w:hAnsi="Arial" w:cs="Arial"/>
          <w:color w:val="000000"/>
          <w:sz w:val="18"/>
          <w:szCs w:val="18"/>
          <w:lang w:val="uk-UA"/>
        </w:rPr>
      </w:pPr>
      <w:r w:rsidRPr="00246A3F">
        <w:rPr>
          <w:rFonts w:ascii="Arial" w:hAnsi="Arial" w:cs="Arial"/>
          <w:b/>
          <w:color w:val="000000"/>
          <w:sz w:val="18"/>
          <w:szCs w:val="18"/>
          <w:lang w:val="uk-UA"/>
        </w:rPr>
        <w:t>4</w:t>
      </w:r>
      <w:r w:rsidRPr="003D4BED">
        <w:rPr>
          <w:rFonts w:ascii="Arial" w:hAnsi="Arial" w:cs="Arial"/>
          <w:color w:val="000000"/>
          <w:sz w:val="18"/>
          <w:szCs w:val="18"/>
          <w:lang w:val="uk-UA"/>
        </w:rPr>
        <w:t xml:space="preserve"> Репрезентативність mITT популяції (припущення, зроблені для </w:t>
      </w:r>
      <w:r w:rsidR="00006C7A">
        <w:rPr>
          <w:rFonts w:ascii="Arial" w:hAnsi="Arial" w:cs="Arial"/>
          <w:color w:val="000000"/>
          <w:sz w:val="18"/>
          <w:szCs w:val="18"/>
          <w:lang w:val="uk-UA"/>
        </w:rPr>
        <w:t xml:space="preserve">популяції </w:t>
      </w:r>
      <w:r w:rsidRPr="003D4BED">
        <w:rPr>
          <w:rFonts w:ascii="Arial" w:hAnsi="Arial" w:cs="Arial"/>
          <w:color w:val="000000"/>
          <w:sz w:val="18"/>
          <w:szCs w:val="18"/>
          <w:lang w:val="uk-UA"/>
        </w:rPr>
        <w:t>ІТТ).</w:t>
      </w:r>
    </w:p>
    <w:p w14:paraId="3129FC42" w14:textId="77777777" w:rsidR="00E568A1" w:rsidRPr="003D4BED" w:rsidRDefault="00E568A1" w:rsidP="00246A3F">
      <w:pPr>
        <w:autoSpaceDE w:val="0"/>
        <w:autoSpaceDN w:val="0"/>
        <w:adjustRightInd w:val="0"/>
        <w:spacing w:after="0" w:line="240" w:lineRule="auto"/>
        <w:contextualSpacing/>
        <w:jc w:val="both"/>
        <w:outlineLvl w:val="0"/>
        <w:rPr>
          <w:rFonts w:ascii="Arial" w:hAnsi="Arial" w:cs="Arial"/>
          <w:color w:val="000000"/>
          <w:sz w:val="18"/>
          <w:szCs w:val="18"/>
          <w:lang w:val="uk-UA"/>
        </w:rPr>
      </w:pPr>
      <w:r w:rsidRPr="00246A3F">
        <w:rPr>
          <w:rFonts w:ascii="Arial" w:hAnsi="Arial" w:cs="Arial"/>
          <w:b/>
          <w:color w:val="000000"/>
          <w:sz w:val="18"/>
          <w:szCs w:val="18"/>
          <w:lang w:val="uk-UA"/>
        </w:rPr>
        <w:t xml:space="preserve">5 </w:t>
      </w:r>
      <w:r w:rsidRPr="003D4BED">
        <w:rPr>
          <w:rFonts w:ascii="Arial" w:hAnsi="Arial" w:cs="Arial"/>
          <w:color w:val="000000"/>
          <w:sz w:val="18"/>
          <w:szCs w:val="18"/>
          <w:lang w:val="uk-UA"/>
        </w:rPr>
        <w:t xml:space="preserve"> Невеликий розмір вибірки і в результаті великий довірчий інтервал обмежує точність: кілька (= серйозні) або дуже мало (= дуже серйозні) спостережень.</w:t>
      </w:r>
    </w:p>
    <w:p w14:paraId="777DBFD4" w14:textId="77777777" w:rsidR="00246A3F" w:rsidRDefault="00E568A1" w:rsidP="00246A3F">
      <w:pPr>
        <w:autoSpaceDE w:val="0"/>
        <w:autoSpaceDN w:val="0"/>
        <w:adjustRightInd w:val="0"/>
        <w:spacing w:after="0" w:line="240" w:lineRule="auto"/>
        <w:contextualSpacing/>
        <w:jc w:val="both"/>
        <w:outlineLvl w:val="0"/>
        <w:rPr>
          <w:rFonts w:ascii="Arial" w:hAnsi="Arial" w:cs="Arial"/>
          <w:color w:val="000000"/>
          <w:sz w:val="18"/>
          <w:szCs w:val="18"/>
          <w:lang w:val="uk-UA"/>
        </w:rPr>
      </w:pPr>
      <w:r w:rsidRPr="00246A3F">
        <w:rPr>
          <w:rFonts w:ascii="Arial" w:hAnsi="Arial" w:cs="Arial"/>
          <w:b/>
          <w:color w:val="000000"/>
          <w:sz w:val="18"/>
          <w:szCs w:val="18"/>
          <w:lang w:val="uk-UA"/>
        </w:rPr>
        <w:t xml:space="preserve">6 </w:t>
      </w:r>
      <w:r w:rsidRPr="009604A0">
        <w:rPr>
          <w:rFonts w:ascii="Arial" w:hAnsi="Arial" w:cs="Arial"/>
          <w:color w:val="000000"/>
          <w:sz w:val="18"/>
          <w:szCs w:val="18"/>
          <w:lang w:val="uk-UA"/>
        </w:rPr>
        <w:t xml:space="preserve">Ця різниця статистично значуща (кореляція </w:t>
      </w:r>
      <w:r w:rsidR="00006C7A">
        <w:rPr>
          <w:rFonts w:ascii="Arial" w:hAnsi="Arial" w:cs="Arial"/>
          <w:color w:val="000000"/>
          <w:sz w:val="18"/>
          <w:szCs w:val="18"/>
          <w:lang w:val="en-US"/>
        </w:rPr>
        <w:t xml:space="preserve">Фішера </w:t>
      </w:r>
      <w:r w:rsidRPr="009604A0">
        <w:rPr>
          <w:rFonts w:ascii="Arial" w:hAnsi="Arial" w:cs="Arial"/>
          <w:color w:val="000000"/>
          <w:sz w:val="18"/>
          <w:szCs w:val="18"/>
          <w:lang w:val="uk-UA"/>
        </w:rPr>
        <w:t xml:space="preserve">= 0,005; кореляція </w:t>
      </w:r>
      <w:r w:rsidR="00DB04D4">
        <w:rPr>
          <w:rFonts w:ascii="Arial" w:hAnsi="Arial" w:cs="Arial"/>
          <w:color w:val="000000"/>
          <w:sz w:val="18"/>
          <w:szCs w:val="18"/>
          <w:lang w:val="en-US"/>
        </w:rPr>
        <w:t>Пірсона</w:t>
      </w:r>
      <w:r w:rsidRPr="009604A0">
        <w:rPr>
          <w:rFonts w:ascii="Arial" w:hAnsi="Arial" w:cs="Arial"/>
          <w:color w:val="000000"/>
          <w:sz w:val="18"/>
          <w:szCs w:val="18"/>
          <w:lang w:val="uk-UA"/>
        </w:rPr>
        <w:t xml:space="preserve"> = 0,003).</w:t>
      </w:r>
    </w:p>
    <w:p w14:paraId="2CDA1920" w14:textId="2E351C4E" w:rsidR="00E568A1" w:rsidRPr="009604A0" w:rsidRDefault="009604A0" w:rsidP="00246A3F">
      <w:pPr>
        <w:autoSpaceDE w:val="0"/>
        <w:autoSpaceDN w:val="0"/>
        <w:adjustRightInd w:val="0"/>
        <w:spacing w:after="0" w:line="240" w:lineRule="auto"/>
        <w:contextualSpacing/>
        <w:jc w:val="both"/>
        <w:outlineLvl w:val="0"/>
        <w:rPr>
          <w:rFonts w:ascii="Arial" w:hAnsi="Arial" w:cs="Arial"/>
          <w:color w:val="000000"/>
          <w:sz w:val="18"/>
          <w:szCs w:val="18"/>
          <w:lang w:val="uk-UA"/>
        </w:rPr>
      </w:pPr>
      <w:r w:rsidRPr="00246A3F">
        <w:rPr>
          <w:rFonts w:ascii="Arial" w:hAnsi="Arial" w:cs="Arial"/>
          <w:b/>
          <w:color w:val="000000"/>
          <w:sz w:val="18"/>
          <w:szCs w:val="18"/>
          <w:lang w:val="uk-UA"/>
        </w:rPr>
        <w:t>7</w:t>
      </w:r>
      <w:r w:rsidRPr="009604A0">
        <w:rPr>
          <w:rFonts w:ascii="Arial" w:hAnsi="Arial" w:cs="Arial"/>
          <w:color w:val="000000"/>
          <w:sz w:val="18"/>
          <w:szCs w:val="18"/>
          <w:lang w:val="uk-UA"/>
        </w:rPr>
        <w:t xml:space="preserve"> Аналіз </w:t>
      </w:r>
      <w:r w:rsidR="00DB04D4">
        <w:rPr>
          <w:rFonts w:ascii="Arial" w:hAnsi="Arial" w:cs="Arial"/>
          <w:color w:val="000000"/>
          <w:sz w:val="18"/>
          <w:szCs w:val="18"/>
          <w:lang w:val="uk-UA"/>
        </w:rPr>
        <w:t>популяції</w:t>
      </w:r>
      <w:r w:rsidR="00DB04D4" w:rsidRPr="009604A0">
        <w:rPr>
          <w:rFonts w:ascii="Arial" w:hAnsi="Arial" w:cs="Arial"/>
          <w:color w:val="000000"/>
          <w:sz w:val="18"/>
          <w:szCs w:val="18"/>
          <w:lang w:val="uk-UA"/>
        </w:rPr>
        <w:t xml:space="preserve"> </w:t>
      </w:r>
      <w:r w:rsidR="00E568A1" w:rsidRPr="009604A0">
        <w:rPr>
          <w:rFonts w:ascii="Arial" w:hAnsi="Arial" w:cs="Arial"/>
          <w:color w:val="000000"/>
          <w:sz w:val="18"/>
          <w:szCs w:val="18"/>
          <w:lang w:val="uk-UA"/>
        </w:rPr>
        <w:t>ІТТ</w:t>
      </w:r>
      <w:r w:rsidR="00DB04D4">
        <w:rPr>
          <w:rFonts w:ascii="Arial" w:hAnsi="Arial" w:cs="Arial"/>
          <w:color w:val="000000"/>
          <w:sz w:val="18"/>
          <w:szCs w:val="18"/>
          <w:lang w:val="uk-UA"/>
        </w:rPr>
        <w:t>, об</w:t>
      </w:r>
      <w:r w:rsidR="00DB04D4">
        <w:rPr>
          <w:rFonts w:ascii="Arial" w:hAnsi="Arial" w:cs="Arial"/>
          <w:color w:val="000000"/>
          <w:sz w:val="18"/>
          <w:szCs w:val="18"/>
          <w:lang w:val="en-US"/>
        </w:rPr>
        <w:t>’</w:t>
      </w:r>
      <w:r w:rsidR="00DB04D4">
        <w:rPr>
          <w:rFonts w:ascii="Arial" w:hAnsi="Arial" w:cs="Arial"/>
          <w:color w:val="000000"/>
          <w:sz w:val="18"/>
          <w:szCs w:val="18"/>
          <w:lang w:val="uk-UA"/>
        </w:rPr>
        <w:t>єднання прешого та другого етапів</w:t>
      </w:r>
      <w:r w:rsidR="00E568A1" w:rsidRPr="009604A0">
        <w:rPr>
          <w:rFonts w:ascii="Arial" w:hAnsi="Arial" w:cs="Arial"/>
          <w:color w:val="000000"/>
          <w:sz w:val="18"/>
          <w:szCs w:val="18"/>
          <w:lang w:val="uk-UA"/>
        </w:rPr>
        <w:t xml:space="preserve"> </w:t>
      </w:r>
      <w:r>
        <w:rPr>
          <w:rFonts w:ascii="Arial" w:hAnsi="Arial" w:cs="Arial"/>
          <w:color w:val="000000"/>
          <w:sz w:val="18"/>
          <w:szCs w:val="18"/>
          <w:lang w:val="uk-UA"/>
        </w:rPr>
        <w:t xml:space="preserve">дослідження С028 </w:t>
      </w:r>
      <w:r w:rsidR="00E568A1" w:rsidRPr="009604A0">
        <w:rPr>
          <w:rFonts w:ascii="Arial" w:hAnsi="Arial" w:cs="Arial"/>
          <w:color w:val="000000"/>
          <w:sz w:val="18"/>
          <w:szCs w:val="18"/>
          <w:lang w:val="uk-UA"/>
        </w:rPr>
        <w:t>(кількість = 102 у групі бедаквіліну, 105 у групі плацебо).</w:t>
      </w:r>
    </w:p>
    <w:p w14:paraId="70F1F8D3" w14:textId="784EB439" w:rsidR="00E568A1" w:rsidRPr="00AC098D" w:rsidRDefault="00E568A1" w:rsidP="00A0621E">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rPr>
        <w:t>8</w:t>
      </w:r>
      <w:r w:rsidR="00246A3F">
        <w:rPr>
          <w:rFonts w:ascii="Arial" w:hAnsi="Arial" w:cs="Arial"/>
          <w:color w:val="000000"/>
          <w:sz w:val="18"/>
          <w:szCs w:val="18"/>
        </w:rPr>
        <w:t xml:space="preserve"> </w:t>
      </w:r>
      <w:r w:rsidRPr="00AC098D">
        <w:rPr>
          <w:rFonts w:ascii="Arial" w:hAnsi="Arial" w:cs="Arial"/>
          <w:color w:val="000000"/>
          <w:sz w:val="18"/>
          <w:szCs w:val="18"/>
        </w:rPr>
        <w:t>Дивись</w:t>
      </w:r>
      <w:r w:rsidRPr="009604A0">
        <w:rPr>
          <w:rFonts w:ascii="Arial" w:hAnsi="Arial" w:cs="Arial"/>
          <w:color w:val="000000"/>
          <w:sz w:val="18"/>
          <w:szCs w:val="18"/>
        </w:rPr>
        <w:t xml:space="preserve">: </w:t>
      </w:r>
      <w:r w:rsidRPr="00AC098D">
        <w:rPr>
          <w:rFonts w:ascii="Arial" w:hAnsi="Arial" w:cs="Arial"/>
          <w:color w:val="000000"/>
          <w:sz w:val="18"/>
          <w:szCs w:val="18"/>
        </w:rPr>
        <w:t>Я</w:t>
      </w:r>
      <w:r w:rsidR="009604A0">
        <w:rPr>
          <w:rFonts w:ascii="Arial" w:hAnsi="Arial" w:cs="Arial"/>
          <w:color w:val="000000"/>
          <w:sz w:val="18"/>
          <w:szCs w:val="18"/>
        </w:rPr>
        <w:t>нссен</w:t>
      </w:r>
      <w:r w:rsidR="009604A0" w:rsidRPr="009604A0">
        <w:rPr>
          <w:rFonts w:ascii="Arial" w:hAnsi="Arial" w:cs="Arial"/>
          <w:color w:val="000000"/>
          <w:sz w:val="18"/>
          <w:szCs w:val="18"/>
        </w:rPr>
        <w:t xml:space="preserve">, </w:t>
      </w:r>
      <w:r w:rsidR="009604A0">
        <w:rPr>
          <w:rFonts w:ascii="Arial" w:hAnsi="Arial" w:cs="Arial"/>
          <w:color w:val="000000"/>
          <w:sz w:val="18"/>
          <w:szCs w:val="18"/>
        </w:rPr>
        <w:t>Інформаційний</w:t>
      </w:r>
      <w:r w:rsidR="009604A0" w:rsidRPr="009604A0">
        <w:rPr>
          <w:rFonts w:ascii="Arial" w:hAnsi="Arial" w:cs="Arial"/>
          <w:color w:val="000000"/>
          <w:sz w:val="18"/>
          <w:szCs w:val="18"/>
        </w:rPr>
        <w:t xml:space="preserve"> </w:t>
      </w:r>
      <w:r w:rsidR="009604A0">
        <w:rPr>
          <w:rFonts w:ascii="Arial" w:hAnsi="Arial" w:cs="Arial"/>
          <w:color w:val="000000"/>
          <w:sz w:val="18"/>
          <w:szCs w:val="18"/>
        </w:rPr>
        <w:t>документ</w:t>
      </w:r>
      <w:r w:rsidR="009604A0" w:rsidRPr="009604A0">
        <w:rPr>
          <w:rFonts w:ascii="Arial" w:hAnsi="Arial" w:cs="Arial"/>
          <w:color w:val="000000"/>
          <w:sz w:val="18"/>
          <w:szCs w:val="18"/>
        </w:rPr>
        <w:t xml:space="preserve"> </w:t>
      </w:r>
      <w:r w:rsidR="009604A0">
        <w:rPr>
          <w:rFonts w:ascii="Arial" w:hAnsi="Arial" w:cs="Arial"/>
          <w:color w:val="000000"/>
          <w:sz w:val="18"/>
          <w:szCs w:val="18"/>
        </w:rPr>
        <w:t>для</w:t>
      </w:r>
      <w:r w:rsidRPr="009604A0">
        <w:rPr>
          <w:rFonts w:ascii="Arial" w:hAnsi="Arial" w:cs="Arial"/>
          <w:color w:val="000000"/>
          <w:sz w:val="18"/>
          <w:szCs w:val="18"/>
        </w:rPr>
        <w:t xml:space="preserve"> </w:t>
      </w:r>
      <w:r w:rsidR="009604A0">
        <w:rPr>
          <w:rFonts w:ascii="Arial" w:hAnsi="Arial" w:cs="Arial"/>
          <w:color w:val="000000"/>
          <w:sz w:val="18"/>
          <w:szCs w:val="18"/>
        </w:rPr>
        <w:t>засідання</w:t>
      </w:r>
      <w:r w:rsidRPr="009604A0">
        <w:rPr>
          <w:rFonts w:ascii="Arial" w:hAnsi="Arial" w:cs="Arial"/>
          <w:color w:val="000000"/>
          <w:sz w:val="18"/>
          <w:szCs w:val="18"/>
        </w:rPr>
        <w:t xml:space="preserve"> </w:t>
      </w:r>
      <w:r w:rsidRPr="00AC098D">
        <w:rPr>
          <w:rFonts w:ascii="Arial" w:hAnsi="Arial" w:cs="Arial"/>
          <w:color w:val="000000"/>
          <w:sz w:val="18"/>
          <w:szCs w:val="18"/>
        </w:rPr>
        <w:t>Консультативного</w:t>
      </w:r>
      <w:r w:rsidRPr="009604A0">
        <w:rPr>
          <w:rFonts w:ascii="Arial" w:hAnsi="Arial" w:cs="Arial"/>
          <w:color w:val="000000"/>
          <w:sz w:val="18"/>
          <w:szCs w:val="18"/>
        </w:rPr>
        <w:t xml:space="preserve"> </w:t>
      </w:r>
      <w:r w:rsidRPr="00AC098D">
        <w:rPr>
          <w:rFonts w:ascii="Arial" w:hAnsi="Arial" w:cs="Arial"/>
          <w:color w:val="000000"/>
          <w:sz w:val="18"/>
          <w:szCs w:val="18"/>
        </w:rPr>
        <w:t>комітету</w:t>
      </w:r>
      <w:r w:rsidRPr="009604A0">
        <w:rPr>
          <w:rFonts w:ascii="Arial" w:hAnsi="Arial" w:cs="Arial"/>
          <w:color w:val="000000"/>
          <w:sz w:val="18"/>
          <w:szCs w:val="18"/>
        </w:rPr>
        <w:t xml:space="preserve"> </w:t>
      </w:r>
      <w:r w:rsidRPr="00AC098D">
        <w:rPr>
          <w:rFonts w:ascii="Arial" w:hAnsi="Arial" w:cs="Arial"/>
          <w:color w:val="000000"/>
          <w:sz w:val="18"/>
          <w:szCs w:val="18"/>
        </w:rPr>
        <w:t>з</w:t>
      </w:r>
      <w:r w:rsidRPr="009604A0">
        <w:rPr>
          <w:rFonts w:ascii="Arial" w:hAnsi="Arial" w:cs="Arial"/>
          <w:color w:val="000000"/>
          <w:sz w:val="18"/>
          <w:szCs w:val="18"/>
        </w:rPr>
        <w:t xml:space="preserve"> </w:t>
      </w:r>
      <w:r w:rsidRPr="00AC098D">
        <w:rPr>
          <w:rFonts w:ascii="Arial" w:hAnsi="Arial" w:cs="Arial"/>
          <w:color w:val="000000"/>
          <w:sz w:val="18"/>
          <w:szCs w:val="18"/>
        </w:rPr>
        <w:t>протиінфекційних</w:t>
      </w:r>
      <w:r w:rsidRPr="009604A0">
        <w:rPr>
          <w:rFonts w:ascii="Arial" w:hAnsi="Arial" w:cs="Arial"/>
          <w:color w:val="000000"/>
          <w:sz w:val="18"/>
          <w:szCs w:val="18"/>
        </w:rPr>
        <w:t xml:space="preserve"> </w:t>
      </w:r>
      <w:r w:rsidRPr="00AC098D">
        <w:rPr>
          <w:rFonts w:ascii="Arial" w:hAnsi="Arial" w:cs="Arial"/>
          <w:color w:val="000000"/>
          <w:sz w:val="18"/>
          <w:szCs w:val="18"/>
        </w:rPr>
        <w:t>лікарських</w:t>
      </w:r>
      <w:r w:rsidRPr="009604A0">
        <w:rPr>
          <w:rFonts w:ascii="Arial" w:hAnsi="Arial" w:cs="Arial"/>
          <w:color w:val="000000"/>
          <w:sz w:val="18"/>
          <w:szCs w:val="18"/>
        </w:rPr>
        <w:t xml:space="preserve"> </w:t>
      </w:r>
      <w:r w:rsidRPr="00AC098D">
        <w:rPr>
          <w:rFonts w:ascii="Arial" w:hAnsi="Arial" w:cs="Arial"/>
          <w:color w:val="000000"/>
          <w:sz w:val="18"/>
          <w:szCs w:val="18"/>
        </w:rPr>
        <w:t>засобів</w:t>
      </w:r>
      <w:r w:rsidRPr="009604A0">
        <w:rPr>
          <w:rFonts w:ascii="Arial" w:hAnsi="Arial" w:cs="Arial"/>
          <w:color w:val="000000"/>
          <w:sz w:val="18"/>
          <w:szCs w:val="18"/>
        </w:rPr>
        <w:t xml:space="preserve">, 28 </w:t>
      </w:r>
      <w:r w:rsidRPr="00AC098D">
        <w:rPr>
          <w:rFonts w:ascii="Arial" w:hAnsi="Arial" w:cs="Arial"/>
          <w:color w:val="000000"/>
          <w:sz w:val="18"/>
          <w:szCs w:val="18"/>
        </w:rPr>
        <w:t>листопада</w:t>
      </w:r>
      <w:r w:rsidRPr="009604A0">
        <w:rPr>
          <w:rFonts w:ascii="Arial" w:hAnsi="Arial" w:cs="Arial"/>
          <w:color w:val="000000"/>
          <w:sz w:val="18"/>
          <w:szCs w:val="18"/>
        </w:rPr>
        <w:t xml:space="preserve"> 2012 </w:t>
      </w:r>
      <w:r w:rsidRPr="00AC098D">
        <w:rPr>
          <w:rFonts w:ascii="Arial" w:hAnsi="Arial" w:cs="Arial"/>
          <w:color w:val="000000"/>
          <w:sz w:val="18"/>
          <w:szCs w:val="18"/>
        </w:rPr>
        <w:t>р</w:t>
      </w:r>
      <w:r w:rsidRPr="009604A0">
        <w:rPr>
          <w:rFonts w:ascii="Arial" w:hAnsi="Arial" w:cs="Arial"/>
          <w:color w:val="000000"/>
          <w:sz w:val="18"/>
          <w:szCs w:val="18"/>
        </w:rPr>
        <w:t>. (</w:t>
      </w:r>
      <w:r w:rsidRPr="00AC098D">
        <w:rPr>
          <w:rFonts w:ascii="Arial" w:hAnsi="Arial" w:cs="Arial"/>
          <w:color w:val="000000"/>
          <w:sz w:val="18"/>
          <w:szCs w:val="18"/>
          <w:lang w:val="en-US"/>
        </w:rPr>
        <w:t>NdA</w:t>
      </w:r>
      <w:r w:rsidRPr="009604A0">
        <w:rPr>
          <w:rFonts w:ascii="Arial" w:hAnsi="Arial" w:cs="Arial"/>
          <w:color w:val="000000"/>
          <w:sz w:val="18"/>
          <w:szCs w:val="18"/>
        </w:rPr>
        <w:t xml:space="preserve"> 204-384) (</w:t>
      </w:r>
      <w:r w:rsidRPr="00AC098D">
        <w:rPr>
          <w:rFonts w:ascii="Arial" w:hAnsi="Arial" w:cs="Arial"/>
          <w:color w:val="000000"/>
          <w:sz w:val="18"/>
          <w:szCs w:val="18"/>
        </w:rPr>
        <w:t>далі</w:t>
      </w:r>
      <w:r w:rsidRPr="009604A0">
        <w:rPr>
          <w:rFonts w:ascii="Arial" w:hAnsi="Arial" w:cs="Arial"/>
          <w:color w:val="000000"/>
          <w:sz w:val="18"/>
          <w:szCs w:val="18"/>
        </w:rPr>
        <w:t xml:space="preserve"> - "</w:t>
      </w:r>
      <w:r w:rsidRPr="00AC098D">
        <w:rPr>
          <w:rFonts w:ascii="Arial" w:hAnsi="Arial" w:cs="Arial"/>
          <w:color w:val="000000"/>
          <w:sz w:val="18"/>
          <w:szCs w:val="18"/>
        </w:rPr>
        <w:t>ІД</w:t>
      </w:r>
      <w:r w:rsidRPr="009604A0">
        <w:rPr>
          <w:rFonts w:ascii="Arial" w:hAnsi="Arial" w:cs="Arial"/>
          <w:color w:val="000000"/>
          <w:sz w:val="18"/>
          <w:szCs w:val="18"/>
        </w:rPr>
        <w:t xml:space="preserve">"). </w:t>
      </w:r>
      <w:r w:rsidRPr="00AC098D">
        <w:rPr>
          <w:rFonts w:ascii="Arial" w:hAnsi="Arial" w:cs="Arial"/>
          <w:color w:val="000000"/>
          <w:sz w:val="18"/>
          <w:szCs w:val="18"/>
        </w:rPr>
        <w:t xml:space="preserve">Таблиця 2 Інструктивного документу, стор. 14, Таблиця 51, стор. 184; і підбірка слайдів, підготовлена Янссеном, і представлені на засіданні Консультативної комісії з протиінфекційних лікарських засобів США-ФДА, 28 листопада 2012 р. (далі - </w:t>
      </w:r>
      <w:r w:rsidRPr="00AC098D">
        <w:rPr>
          <w:rFonts w:ascii="Arial" w:hAnsi="Arial" w:cs="Arial"/>
          <w:color w:val="000000"/>
          <w:sz w:val="18"/>
          <w:szCs w:val="18"/>
          <w:lang w:val="en-US"/>
        </w:rPr>
        <w:t>JRd</w:t>
      </w:r>
      <w:r w:rsidRPr="00AC098D">
        <w:rPr>
          <w:rFonts w:ascii="Arial" w:hAnsi="Arial" w:cs="Arial"/>
          <w:color w:val="000000"/>
          <w:sz w:val="18"/>
          <w:szCs w:val="18"/>
        </w:rPr>
        <w:t xml:space="preserve">), </w:t>
      </w:r>
      <w:r w:rsidRPr="00AC098D">
        <w:rPr>
          <w:rFonts w:ascii="Arial" w:hAnsi="Arial" w:cs="Arial"/>
          <w:color w:val="000000"/>
          <w:sz w:val="18"/>
          <w:szCs w:val="18"/>
          <w:lang w:val="en-US"/>
        </w:rPr>
        <w:t>JRd</w:t>
      </w:r>
      <w:r w:rsidRPr="00AC098D">
        <w:rPr>
          <w:rFonts w:ascii="Arial" w:hAnsi="Arial" w:cs="Arial"/>
          <w:color w:val="000000"/>
          <w:sz w:val="18"/>
          <w:szCs w:val="18"/>
        </w:rPr>
        <w:t xml:space="preserve"> слайд 71 -</w:t>
      </w:r>
      <w:r>
        <w:rPr>
          <w:rFonts w:ascii="Arial" w:hAnsi="Arial" w:cs="Arial"/>
          <w:color w:val="000000"/>
          <w:sz w:val="18"/>
          <w:szCs w:val="18"/>
          <w:lang w:val="uk-UA"/>
        </w:rPr>
        <w:t xml:space="preserve"> </w:t>
      </w:r>
      <w:r w:rsidRPr="00255826">
        <w:rPr>
          <w:rFonts w:ascii="Arial" w:hAnsi="Arial" w:cs="Arial"/>
          <w:color w:val="000000"/>
          <w:sz w:val="18"/>
          <w:szCs w:val="18"/>
          <w:lang w:val="en-US"/>
        </w:rPr>
        <w:t>See</w:t>
      </w:r>
      <w:r w:rsidRPr="00AC098D">
        <w:rPr>
          <w:rFonts w:ascii="Arial" w:hAnsi="Arial" w:cs="Arial"/>
          <w:color w:val="000000"/>
          <w:sz w:val="18"/>
          <w:szCs w:val="18"/>
        </w:rPr>
        <w:t xml:space="preserve">: </w:t>
      </w:r>
      <w:hyperlink r:id="rId15" w:history="1">
        <w:r w:rsidRPr="000D19C7">
          <w:rPr>
            <w:rStyle w:val="a3"/>
            <w:rFonts w:ascii="Arial" w:hAnsi="Arial" w:cs="Arial"/>
            <w:sz w:val="18"/>
            <w:szCs w:val="18"/>
            <w:lang w:val="en-US"/>
          </w:rPr>
          <w:t>http</w:t>
        </w:r>
        <w:r w:rsidRPr="000D19C7">
          <w:rPr>
            <w:rStyle w:val="a3"/>
            <w:rFonts w:ascii="Arial" w:hAnsi="Arial" w:cs="Arial"/>
            <w:sz w:val="18"/>
            <w:szCs w:val="18"/>
          </w:rPr>
          <w:t>://</w:t>
        </w:r>
        <w:r w:rsidRPr="000D19C7">
          <w:rPr>
            <w:rStyle w:val="a3"/>
            <w:rFonts w:ascii="Arial" w:hAnsi="Arial" w:cs="Arial"/>
            <w:sz w:val="18"/>
            <w:szCs w:val="18"/>
            <w:lang w:val="en-US"/>
          </w:rPr>
          <w:t>workspace</w:t>
        </w:r>
        <w:r w:rsidRPr="000D19C7">
          <w:rPr>
            <w:rStyle w:val="a3"/>
            <w:rFonts w:ascii="Arial" w:hAnsi="Arial" w:cs="Arial"/>
            <w:sz w:val="18"/>
            <w:szCs w:val="18"/>
          </w:rPr>
          <w:t>.</w:t>
        </w:r>
        <w:r w:rsidRPr="000D19C7">
          <w:rPr>
            <w:rStyle w:val="a3"/>
            <w:rFonts w:ascii="Arial" w:hAnsi="Arial" w:cs="Arial"/>
            <w:sz w:val="18"/>
            <w:szCs w:val="18"/>
            <w:lang w:val="en-US"/>
          </w:rPr>
          <w:t>who</w:t>
        </w:r>
        <w:r w:rsidRPr="000D19C7">
          <w:rPr>
            <w:rStyle w:val="a3"/>
            <w:rFonts w:ascii="Arial" w:hAnsi="Arial" w:cs="Arial"/>
            <w:sz w:val="18"/>
            <w:szCs w:val="18"/>
          </w:rPr>
          <w:t>.</w:t>
        </w:r>
        <w:r w:rsidRPr="000D19C7">
          <w:rPr>
            <w:rStyle w:val="a3"/>
            <w:rFonts w:ascii="Arial" w:hAnsi="Arial" w:cs="Arial"/>
            <w:sz w:val="18"/>
            <w:szCs w:val="18"/>
            <w:lang w:val="en-US"/>
          </w:rPr>
          <w:t>int</w:t>
        </w:r>
        <w:r w:rsidRPr="000D19C7">
          <w:rPr>
            <w:rStyle w:val="a3"/>
            <w:rFonts w:ascii="Arial" w:hAnsi="Arial" w:cs="Arial"/>
            <w:sz w:val="18"/>
            <w:szCs w:val="18"/>
          </w:rPr>
          <w:t>/</w:t>
        </w:r>
        <w:r w:rsidRPr="000D19C7">
          <w:rPr>
            <w:rStyle w:val="a3"/>
            <w:rFonts w:ascii="Arial" w:hAnsi="Arial" w:cs="Arial"/>
            <w:sz w:val="18"/>
            <w:szCs w:val="18"/>
            <w:lang w:val="en-US"/>
          </w:rPr>
          <w:t>sites</w:t>
        </w:r>
        <w:r w:rsidRPr="000D19C7">
          <w:rPr>
            <w:rStyle w:val="a3"/>
            <w:rFonts w:ascii="Arial" w:hAnsi="Arial" w:cs="Arial"/>
            <w:sz w:val="18"/>
            <w:szCs w:val="18"/>
          </w:rPr>
          <w:t>/</w:t>
        </w:r>
        <w:r w:rsidRPr="000D19C7">
          <w:rPr>
            <w:rStyle w:val="a3"/>
            <w:rFonts w:ascii="Arial" w:hAnsi="Arial" w:cs="Arial"/>
            <w:sz w:val="18"/>
            <w:szCs w:val="18"/>
            <w:lang w:val="en-US"/>
          </w:rPr>
          <w:t>stb</w:t>
        </w:r>
        <w:r w:rsidRPr="000D19C7">
          <w:rPr>
            <w:rStyle w:val="a3"/>
            <w:rFonts w:ascii="Arial" w:hAnsi="Arial" w:cs="Arial"/>
            <w:sz w:val="18"/>
            <w:szCs w:val="18"/>
          </w:rPr>
          <w:t>/</w:t>
        </w:r>
        <w:r w:rsidRPr="000D19C7">
          <w:rPr>
            <w:rStyle w:val="a3"/>
            <w:rFonts w:ascii="Arial" w:hAnsi="Arial" w:cs="Arial"/>
            <w:sz w:val="18"/>
            <w:szCs w:val="18"/>
            <w:lang w:val="en-US"/>
          </w:rPr>
          <w:t>Expert</w:t>
        </w:r>
        <w:r w:rsidRPr="000D19C7">
          <w:rPr>
            <w:rStyle w:val="a3"/>
            <w:rFonts w:ascii="Arial" w:hAnsi="Arial" w:cs="Arial"/>
            <w:sz w:val="18"/>
            <w:szCs w:val="18"/>
          </w:rPr>
          <w:t>-</w:t>
        </w:r>
        <w:r w:rsidRPr="000D19C7">
          <w:rPr>
            <w:rStyle w:val="a3"/>
            <w:rFonts w:ascii="Arial" w:hAnsi="Arial" w:cs="Arial"/>
            <w:sz w:val="18"/>
            <w:szCs w:val="18"/>
            <w:lang w:val="en-US"/>
          </w:rPr>
          <w:t>GroupMeetingBedaquiline</w:t>
        </w:r>
        <w:r w:rsidRPr="000D19C7">
          <w:rPr>
            <w:rStyle w:val="a3"/>
            <w:rFonts w:ascii="Arial" w:hAnsi="Arial" w:cs="Arial"/>
            <w:sz w:val="18"/>
            <w:szCs w:val="18"/>
          </w:rPr>
          <w:t>/</w:t>
        </w:r>
        <w:r w:rsidRPr="000D19C7">
          <w:rPr>
            <w:rStyle w:val="a3"/>
            <w:rFonts w:ascii="Arial" w:hAnsi="Arial" w:cs="Arial"/>
            <w:sz w:val="18"/>
            <w:szCs w:val="18"/>
            <w:lang w:val="en-US"/>
          </w:rPr>
          <w:t>default</w:t>
        </w:r>
        <w:r w:rsidRPr="000D19C7">
          <w:rPr>
            <w:rStyle w:val="a3"/>
            <w:rFonts w:ascii="Arial" w:hAnsi="Arial" w:cs="Arial"/>
            <w:sz w:val="18"/>
            <w:szCs w:val="18"/>
          </w:rPr>
          <w:t>.</w:t>
        </w:r>
        <w:r w:rsidRPr="000D19C7">
          <w:rPr>
            <w:rStyle w:val="a3"/>
            <w:rFonts w:ascii="Arial" w:hAnsi="Arial" w:cs="Arial"/>
            <w:sz w:val="18"/>
            <w:szCs w:val="18"/>
            <w:lang w:val="en-US"/>
          </w:rPr>
          <w:t>aspx</w:t>
        </w:r>
      </w:hyperlink>
    </w:p>
    <w:p w14:paraId="74DC3670" w14:textId="268F8F57" w:rsidR="00E568A1" w:rsidRPr="009604A0" w:rsidRDefault="00E568A1" w:rsidP="00A0621E">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rPr>
        <w:t>9</w:t>
      </w:r>
      <w:r w:rsidR="00275DF0">
        <w:rPr>
          <w:rFonts w:ascii="Arial" w:hAnsi="Arial" w:cs="Arial"/>
          <w:color w:val="000000"/>
          <w:sz w:val="18"/>
          <w:szCs w:val="18"/>
        </w:rPr>
        <w:t xml:space="preserve"> Ризик побічних реакцій (наприклад, подовження</w:t>
      </w:r>
      <w:r w:rsidRPr="009604A0">
        <w:rPr>
          <w:rFonts w:ascii="Arial" w:hAnsi="Arial" w:cs="Arial"/>
          <w:color w:val="000000"/>
          <w:sz w:val="18"/>
          <w:szCs w:val="18"/>
        </w:rPr>
        <w:t xml:space="preserve"> </w:t>
      </w:r>
      <w:r w:rsidRPr="00AC098D">
        <w:rPr>
          <w:rFonts w:ascii="Arial" w:hAnsi="Arial" w:cs="Arial"/>
          <w:color w:val="000000"/>
          <w:sz w:val="18"/>
          <w:szCs w:val="18"/>
          <w:lang w:val="en-US"/>
        </w:rPr>
        <w:t>QT</w:t>
      </w:r>
      <w:r w:rsidR="00275DF0">
        <w:rPr>
          <w:rFonts w:ascii="Arial" w:hAnsi="Arial" w:cs="Arial"/>
          <w:color w:val="000000"/>
          <w:sz w:val="18"/>
          <w:szCs w:val="18"/>
        </w:rPr>
        <w:t>) може бути вищим ніж при застосуванні</w:t>
      </w:r>
      <w:r w:rsidRPr="009604A0">
        <w:rPr>
          <w:rFonts w:ascii="Arial" w:hAnsi="Arial" w:cs="Arial"/>
          <w:color w:val="000000"/>
          <w:sz w:val="18"/>
          <w:szCs w:val="18"/>
        </w:rPr>
        <w:t xml:space="preserve"> клофазиміну; побо</w:t>
      </w:r>
      <w:r w:rsidR="00275DF0">
        <w:rPr>
          <w:rFonts w:ascii="Arial" w:hAnsi="Arial" w:cs="Arial"/>
          <w:color w:val="000000"/>
          <w:sz w:val="18"/>
          <w:szCs w:val="18"/>
        </w:rPr>
        <w:t xml:space="preserve">ювання щодо короткого періоду </w:t>
      </w:r>
      <w:r w:rsidRPr="009604A0">
        <w:rPr>
          <w:rFonts w:ascii="Arial" w:hAnsi="Arial" w:cs="Arial"/>
          <w:color w:val="000000"/>
          <w:sz w:val="18"/>
          <w:szCs w:val="18"/>
        </w:rPr>
        <w:t xml:space="preserve">спостереження, незважаючи на тривалий період напіввиведення </w:t>
      </w:r>
      <w:r w:rsidR="00275DF0" w:rsidRPr="009604A0">
        <w:rPr>
          <w:rFonts w:ascii="Arial" w:hAnsi="Arial" w:cs="Arial"/>
          <w:color w:val="000000"/>
          <w:sz w:val="18"/>
          <w:szCs w:val="18"/>
        </w:rPr>
        <w:t xml:space="preserve">бедаквіліну </w:t>
      </w:r>
      <w:r w:rsidRPr="009604A0">
        <w:rPr>
          <w:rFonts w:ascii="Arial" w:hAnsi="Arial" w:cs="Arial"/>
          <w:color w:val="000000"/>
          <w:sz w:val="18"/>
          <w:szCs w:val="18"/>
        </w:rPr>
        <w:t>з організму.</w:t>
      </w:r>
    </w:p>
    <w:p w14:paraId="004CA0F4" w14:textId="77777777" w:rsidR="00E568A1" w:rsidRPr="00713994" w:rsidRDefault="00E568A1" w:rsidP="009B51D9">
      <w:pPr>
        <w:autoSpaceDE w:val="0"/>
        <w:autoSpaceDN w:val="0"/>
        <w:adjustRightInd w:val="0"/>
        <w:spacing w:after="0" w:line="240" w:lineRule="auto"/>
        <w:jc w:val="both"/>
        <w:outlineLvl w:val="0"/>
        <w:rPr>
          <w:rFonts w:ascii="Arial" w:hAnsi="Arial" w:cs="Arial"/>
          <w:color w:val="000000"/>
          <w:sz w:val="18"/>
          <w:szCs w:val="18"/>
        </w:rPr>
      </w:pPr>
      <w:r w:rsidRPr="00246A3F">
        <w:rPr>
          <w:rFonts w:ascii="Arial" w:hAnsi="Arial" w:cs="Arial"/>
          <w:b/>
          <w:color w:val="000000"/>
          <w:sz w:val="18"/>
          <w:szCs w:val="18"/>
        </w:rPr>
        <w:t>10</w:t>
      </w:r>
      <w:r w:rsidRPr="00713994">
        <w:rPr>
          <w:rFonts w:ascii="Arial" w:hAnsi="Arial" w:cs="Arial"/>
          <w:color w:val="000000"/>
          <w:sz w:val="18"/>
          <w:szCs w:val="18"/>
        </w:rPr>
        <w:t xml:space="preserve"> </w:t>
      </w:r>
      <w:r>
        <w:rPr>
          <w:rFonts w:ascii="Arial" w:hAnsi="Arial" w:cs="Arial"/>
          <w:color w:val="000000"/>
          <w:sz w:val="18"/>
          <w:szCs w:val="18"/>
          <w:lang w:val="uk-UA"/>
        </w:rPr>
        <w:t xml:space="preserve">Дивись </w:t>
      </w:r>
      <w:r w:rsidRPr="00255826">
        <w:rPr>
          <w:rFonts w:ascii="Arial" w:hAnsi="Arial" w:cs="Arial"/>
          <w:color w:val="000000"/>
          <w:sz w:val="18"/>
          <w:szCs w:val="18"/>
          <w:lang w:val="en-US"/>
        </w:rPr>
        <w:t>JRd</w:t>
      </w:r>
      <w:r w:rsidRPr="00713994">
        <w:rPr>
          <w:rFonts w:ascii="Arial" w:hAnsi="Arial" w:cs="Arial"/>
          <w:color w:val="000000"/>
          <w:sz w:val="18"/>
          <w:szCs w:val="18"/>
        </w:rPr>
        <w:t xml:space="preserve"> </w:t>
      </w:r>
      <w:r>
        <w:rPr>
          <w:rFonts w:ascii="Arial" w:hAnsi="Arial" w:cs="Arial"/>
          <w:color w:val="000000"/>
          <w:sz w:val="18"/>
          <w:szCs w:val="18"/>
          <w:lang w:val="uk-UA"/>
        </w:rPr>
        <w:t>слайд</w:t>
      </w:r>
      <w:r w:rsidRPr="00713994">
        <w:rPr>
          <w:rFonts w:ascii="Arial" w:hAnsi="Arial" w:cs="Arial"/>
          <w:color w:val="000000"/>
          <w:sz w:val="18"/>
          <w:szCs w:val="18"/>
        </w:rPr>
        <w:t xml:space="preserve"> 63.</w:t>
      </w:r>
    </w:p>
    <w:p w14:paraId="16C76F6F" w14:textId="77777777" w:rsidR="00E568A1" w:rsidRPr="00713994" w:rsidRDefault="00E568A1" w:rsidP="00A0621E">
      <w:pPr>
        <w:autoSpaceDE w:val="0"/>
        <w:autoSpaceDN w:val="0"/>
        <w:adjustRightInd w:val="0"/>
        <w:spacing w:after="0" w:line="240" w:lineRule="auto"/>
        <w:jc w:val="both"/>
        <w:rPr>
          <w:rFonts w:ascii="Arial" w:hAnsi="Arial" w:cs="Arial"/>
          <w:color w:val="000000"/>
          <w:sz w:val="12"/>
          <w:szCs w:val="12"/>
        </w:rPr>
      </w:pPr>
    </w:p>
    <w:p w14:paraId="7C0AB10A" w14:textId="4C684543" w:rsidR="00E568A1" w:rsidRPr="00781F69" w:rsidRDefault="003C1FF4" w:rsidP="00A0621E">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rPr>
        <w:lastRenderedPageBreak/>
        <w:t>11</w:t>
      </w:r>
      <w:r w:rsidRPr="00713994">
        <w:rPr>
          <w:rFonts w:ascii="Arial" w:hAnsi="Arial" w:cs="Arial"/>
          <w:color w:val="000000"/>
          <w:sz w:val="18"/>
          <w:szCs w:val="18"/>
        </w:rPr>
        <w:t xml:space="preserve"> </w:t>
      </w:r>
      <w:r w:rsidRPr="003C1FF4">
        <w:rPr>
          <w:rFonts w:ascii="Arial" w:hAnsi="Arial" w:cs="Arial"/>
          <w:color w:val="000000"/>
          <w:sz w:val="18"/>
          <w:szCs w:val="18"/>
        </w:rPr>
        <w:t>Див</w:t>
      </w:r>
      <w:r w:rsidRPr="00713994">
        <w:rPr>
          <w:rFonts w:ascii="Arial" w:hAnsi="Arial" w:cs="Arial"/>
          <w:color w:val="000000"/>
          <w:sz w:val="18"/>
          <w:szCs w:val="18"/>
        </w:rPr>
        <w:t xml:space="preserve">. </w:t>
      </w:r>
      <w:r w:rsidRPr="003C1FF4">
        <w:rPr>
          <w:rFonts w:ascii="Arial" w:hAnsi="Arial" w:cs="Arial"/>
          <w:color w:val="000000"/>
          <w:sz w:val="18"/>
          <w:szCs w:val="18"/>
        </w:rPr>
        <w:t>Таблицю</w:t>
      </w:r>
      <w:r w:rsidRPr="00713994">
        <w:rPr>
          <w:rFonts w:ascii="Arial" w:hAnsi="Arial" w:cs="Arial"/>
          <w:color w:val="000000"/>
          <w:sz w:val="18"/>
          <w:szCs w:val="18"/>
        </w:rPr>
        <w:t xml:space="preserve"> 45 "</w:t>
      </w:r>
      <w:r w:rsidRPr="003C1FF4">
        <w:rPr>
          <w:rFonts w:ascii="Arial" w:hAnsi="Arial" w:cs="Arial"/>
          <w:color w:val="000000"/>
          <w:sz w:val="18"/>
          <w:szCs w:val="18"/>
        </w:rPr>
        <w:t>Бедаквілін</w:t>
      </w:r>
      <w:r w:rsidRPr="00713994">
        <w:rPr>
          <w:rFonts w:ascii="Arial" w:hAnsi="Arial" w:cs="Arial"/>
          <w:color w:val="000000"/>
          <w:sz w:val="18"/>
          <w:szCs w:val="18"/>
        </w:rPr>
        <w:t xml:space="preserve"> (</w:t>
      </w:r>
      <w:r w:rsidRPr="003C1FF4">
        <w:rPr>
          <w:rFonts w:ascii="Arial" w:hAnsi="Arial" w:cs="Arial"/>
          <w:color w:val="000000"/>
          <w:sz w:val="18"/>
          <w:szCs w:val="18"/>
        </w:rPr>
        <w:t>БДК</w:t>
      </w:r>
      <w:r w:rsidRPr="00713994">
        <w:rPr>
          <w:rFonts w:ascii="Arial" w:hAnsi="Arial" w:cs="Arial"/>
          <w:color w:val="000000"/>
          <w:sz w:val="18"/>
          <w:szCs w:val="18"/>
        </w:rPr>
        <w:t xml:space="preserve">), </w:t>
      </w:r>
      <w:r w:rsidRPr="003C1FF4">
        <w:rPr>
          <w:rFonts w:ascii="Arial" w:hAnsi="Arial" w:cs="Arial"/>
          <w:color w:val="000000"/>
          <w:sz w:val="18"/>
          <w:szCs w:val="18"/>
        </w:rPr>
        <w:t>Додаток</w:t>
      </w:r>
      <w:r w:rsidRPr="00713994">
        <w:rPr>
          <w:rFonts w:ascii="Arial" w:hAnsi="Arial" w:cs="Arial"/>
          <w:color w:val="000000"/>
          <w:sz w:val="18"/>
          <w:szCs w:val="18"/>
        </w:rPr>
        <w:t xml:space="preserve"> 4; </w:t>
      </w:r>
      <w:r w:rsidRPr="003C1FF4">
        <w:rPr>
          <w:rFonts w:ascii="Arial" w:hAnsi="Arial" w:cs="Arial"/>
          <w:color w:val="000000"/>
          <w:sz w:val="18"/>
          <w:szCs w:val="18"/>
        </w:rPr>
        <w:t>Аналіз</w:t>
      </w:r>
      <w:r w:rsidRPr="00713994">
        <w:rPr>
          <w:rFonts w:ascii="Arial" w:hAnsi="Arial" w:cs="Arial"/>
          <w:color w:val="000000"/>
          <w:sz w:val="18"/>
          <w:szCs w:val="18"/>
        </w:rPr>
        <w:t xml:space="preserve"> </w:t>
      </w:r>
      <w:r w:rsidRPr="003C1FF4">
        <w:rPr>
          <w:rFonts w:ascii="Arial" w:hAnsi="Arial" w:cs="Arial"/>
          <w:color w:val="000000"/>
          <w:sz w:val="18"/>
          <w:szCs w:val="18"/>
        </w:rPr>
        <w:t>ІТТ</w:t>
      </w:r>
      <w:r w:rsidRPr="00713994">
        <w:rPr>
          <w:rFonts w:ascii="Arial" w:hAnsi="Arial" w:cs="Arial"/>
          <w:color w:val="000000"/>
          <w:sz w:val="18"/>
          <w:szCs w:val="18"/>
        </w:rPr>
        <w:t xml:space="preserve"> </w:t>
      </w:r>
      <w:r w:rsidRPr="003C1FF4">
        <w:rPr>
          <w:rFonts w:ascii="Arial" w:hAnsi="Arial" w:cs="Arial"/>
          <w:color w:val="000000"/>
          <w:sz w:val="18"/>
          <w:szCs w:val="18"/>
        </w:rPr>
        <w:t>популяції</w:t>
      </w:r>
      <w:r w:rsidRPr="00713994">
        <w:rPr>
          <w:rFonts w:ascii="Arial" w:hAnsi="Arial" w:cs="Arial"/>
          <w:color w:val="000000"/>
          <w:sz w:val="18"/>
          <w:szCs w:val="18"/>
        </w:rPr>
        <w:t xml:space="preserve">, </w:t>
      </w:r>
      <w:r w:rsidRPr="003C1FF4">
        <w:rPr>
          <w:rFonts w:ascii="Arial" w:hAnsi="Arial" w:cs="Arial"/>
          <w:color w:val="000000"/>
          <w:sz w:val="18"/>
          <w:szCs w:val="18"/>
        </w:rPr>
        <w:t>дослідження</w:t>
      </w:r>
      <w:r w:rsidRPr="00713994">
        <w:rPr>
          <w:rFonts w:ascii="Arial" w:hAnsi="Arial" w:cs="Arial"/>
          <w:color w:val="000000"/>
          <w:sz w:val="18"/>
          <w:szCs w:val="18"/>
        </w:rPr>
        <w:t xml:space="preserve"> </w:t>
      </w:r>
      <w:r w:rsidRPr="003C1FF4">
        <w:rPr>
          <w:rFonts w:ascii="Arial" w:hAnsi="Arial" w:cs="Arial"/>
          <w:color w:val="000000"/>
          <w:sz w:val="18"/>
          <w:szCs w:val="18"/>
          <w:lang w:val="en-US"/>
        </w:rPr>
        <w:t>C</w:t>
      </w:r>
      <w:r w:rsidRPr="00713994">
        <w:rPr>
          <w:rFonts w:ascii="Arial" w:hAnsi="Arial" w:cs="Arial"/>
          <w:color w:val="000000"/>
          <w:sz w:val="18"/>
          <w:szCs w:val="18"/>
        </w:rPr>
        <w:t xml:space="preserve">208 </w:t>
      </w:r>
      <w:r w:rsidRPr="003C1FF4">
        <w:rPr>
          <w:rFonts w:ascii="Arial" w:hAnsi="Arial" w:cs="Arial"/>
          <w:color w:val="000000"/>
          <w:sz w:val="18"/>
          <w:szCs w:val="18"/>
        </w:rPr>
        <w:t>лише</w:t>
      </w:r>
      <w:r w:rsidRPr="00713994">
        <w:rPr>
          <w:rFonts w:ascii="Arial" w:hAnsi="Arial" w:cs="Arial"/>
          <w:color w:val="000000"/>
          <w:sz w:val="18"/>
          <w:szCs w:val="18"/>
        </w:rPr>
        <w:t xml:space="preserve"> 2-</w:t>
      </w:r>
      <w:r w:rsidRPr="003C1FF4">
        <w:rPr>
          <w:rFonts w:ascii="Arial" w:hAnsi="Arial" w:cs="Arial"/>
          <w:color w:val="000000"/>
          <w:sz w:val="18"/>
          <w:szCs w:val="18"/>
        </w:rPr>
        <w:t>й</w:t>
      </w:r>
      <w:r w:rsidRPr="00713994">
        <w:rPr>
          <w:rFonts w:ascii="Arial" w:hAnsi="Arial" w:cs="Arial"/>
          <w:color w:val="000000"/>
          <w:sz w:val="18"/>
          <w:szCs w:val="18"/>
        </w:rPr>
        <w:t xml:space="preserve"> </w:t>
      </w:r>
      <w:r w:rsidRPr="003C1FF4">
        <w:rPr>
          <w:rFonts w:ascii="Arial" w:hAnsi="Arial" w:cs="Arial"/>
          <w:color w:val="000000"/>
          <w:sz w:val="18"/>
          <w:szCs w:val="18"/>
        </w:rPr>
        <w:t>етап</w:t>
      </w:r>
      <w:r w:rsidRPr="00713994">
        <w:rPr>
          <w:rFonts w:ascii="Arial" w:hAnsi="Arial" w:cs="Arial"/>
          <w:color w:val="000000"/>
          <w:sz w:val="18"/>
          <w:szCs w:val="18"/>
        </w:rPr>
        <w:t xml:space="preserve"> (</w:t>
      </w:r>
      <w:r w:rsidRPr="003C1FF4">
        <w:rPr>
          <w:rFonts w:ascii="Arial" w:hAnsi="Arial" w:cs="Arial"/>
          <w:color w:val="000000"/>
          <w:sz w:val="18"/>
          <w:szCs w:val="18"/>
        </w:rPr>
        <w:t>кількість</w:t>
      </w:r>
      <w:r w:rsidRPr="00713994">
        <w:rPr>
          <w:rFonts w:ascii="Arial" w:hAnsi="Arial" w:cs="Arial"/>
          <w:color w:val="000000"/>
          <w:sz w:val="18"/>
          <w:szCs w:val="18"/>
        </w:rPr>
        <w:t xml:space="preserve"> = 79 </w:t>
      </w:r>
      <w:r w:rsidRPr="003C1FF4">
        <w:rPr>
          <w:rFonts w:ascii="Arial" w:hAnsi="Arial" w:cs="Arial"/>
          <w:color w:val="000000"/>
          <w:sz w:val="18"/>
          <w:szCs w:val="18"/>
        </w:rPr>
        <w:t>у</w:t>
      </w:r>
      <w:r w:rsidRPr="00713994">
        <w:rPr>
          <w:rFonts w:ascii="Arial" w:hAnsi="Arial" w:cs="Arial"/>
          <w:color w:val="000000"/>
          <w:sz w:val="18"/>
          <w:szCs w:val="18"/>
        </w:rPr>
        <w:t xml:space="preserve"> </w:t>
      </w:r>
      <w:r w:rsidRPr="003C1FF4">
        <w:rPr>
          <w:rFonts w:ascii="Arial" w:hAnsi="Arial" w:cs="Arial"/>
          <w:color w:val="000000"/>
          <w:sz w:val="18"/>
          <w:szCs w:val="18"/>
        </w:rPr>
        <w:t>групі</w:t>
      </w:r>
      <w:r w:rsidRPr="00713994">
        <w:rPr>
          <w:rFonts w:ascii="Arial" w:hAnsi="Arial" w:cs="Arial"/>
          <w:color w:val="000000"/>
          <w:sz w:val="18"/>
          <w:szCs w:val="18"/>
        </w:rPr>
        <w:t xml:space="preserve"> </w:t>
      </w:r>
      <w:r w:rsidRPr="003C1FF4">
        <w:rPr>
          <w:rFonts w:ascii="Arial" w:hAnsi="Arial" w:cs="Arial"/>
          <w:color w:val="000000"/>
          <w:sz w:val="18"/>
          <w:szCs w:val="18"/>
        </w:rPr>
        <w:t>бедраквіліну</w:t>
      </w:r>
      <w:r w:rsidRPr="00713994">
        <w:rPr>
          <w:rFonts w:ascii="Arial" w:hAnsi="Arial" w:cs="Arial"/>
          <w:color w:val="000000"/>
          <w:sz w:val="18"/>
          <w:szCs w:val="18"/>
        </w:rPr>
        <w:t xml:space="preserve">, 81 - </w:t>
      </w:r>
      <w:r w:rsidRPr="003C1FF4">
        <w:rPr>
          <w:rFonts w:ascii="Arial" w:hAnsi="Arial" w:cs="Arial"/>
          <w:color w:val="000000"/>
          <w:sz w:val="18"/>
          <w:szCs w:val="18"/>
        </w:rPr>
        <w:t>у</w:t>
      </w:r>
      <w:r w:rsidRPr="00713994">
        <w:rPr>
          <w:rFonts w:ascii="Arial" w:hAnsi="Arial" w:cs="Arial"/>
          <w:color w:val="000000"/>
          <w:sz w:val="18"/>
          <w:szCs w:val="18"/>
        </w:rPr>
        <w:t xml:space="preserve"> </w:t>
      </w:r>
      <w:r w:rsidRPr="003C1FF4">
        <w:rPr>
          <w:rFonts w:ascii="Arial" w:hAnsi="Arial" w:cs="Arial"/>
          <w:color w:val="000000"/>
          <w:sz w:val="18"/>
          <w:szCs w:val="18"/>
        </w:rPr>
        <w:t>групі</w:t>
      </w:r>
      <w:r w:rsidRPr="00713994">
        <w:rPr>
          <w:rFonts w:ascii="Arial" w:hAnsi="Arial" w:cs="Arial"/>
          <w:color w:val="000000"/>
          <w:sz w:val="18"/>
          <w:szCs w:val="18"/>
        </w:rPr>
        <w:t xml:space="preserve"> </w:t>
      </w:r>
      <w:r w:rsidRPr="003C1FF4">
        <w:rPr>
          <w:rFonts w:ascii="Arial" w:hAnsi="Arial" w:cs="Arial"/>
          <w:color w:val="000000"/>
          <w:sz w:val="18"/>
          <w:szCs w:val="18"/>
        </w:rPr>
        <w:t>плацебо</w:t>
      </w:r>
      <w:r w:rsidRPr="00713994">
        <w:rPr>
          <w:rFonts w:ascii="Arial" w:hAnsi="Arial" w:cs="Arial"/>
          <w:color w:val="000000"/>
          <w:sz w:val="18"/>
          <w:szCs w:val="18"/>
        </w:rPr>
        <w:t xml:space="preserve">); </w:t>
      </w:r>
      <w:r w:rsidRPr="003C1FF4">
        <w:rPr>
          <w:rFonts w:ascii="Arial" w:hAnsi="Arial" w:cs="Arial"/>
          <w:color w:val="000000"/>
          <w:sz w:val="18"/>
          <w:szCs w:val="18"/>
        </w:rPr>
        <w:t>Смертність</w:t>
      </w:r>
      <w:r w:rsidRPr="00713994">
        <w:rPr>
          <w:rFonts w:ascii="Arial" w:hAnsi="Arial" w:cs="Arial"/>
          <w:color w:val="000000"/>
          <w:sz w:val="18"/>
          <w:szCs w:val="18"/>
        </w:rPr>
        <w:t xml:space="preserve"> </w:t>
      </w:r>
      <w:r w:rsidRPr="003C1FF4">
        <w:rPr>
          <w:rFonts w:ascii="Arial" w:hAnsi="Arial" w:cs="Arial"/>
          <w:color w:val="000000"/>
          <w:sz w:val="18"/>
          <w:szCs w:val="18"/>
        </w:rPr>
        <w:t>серед</w:t>
      </w:r>
      <w:r w:rsidRPr="00713994">
        <w:rPr>
          <w:rFonts w:ascii="Arial" w:hAnsi="Arial" w:cs="Arial"/>
          <w:color w:val="000000"/>
          <w:sz w:val="18"/>
          <w:szCs w:val="18"/>
        </w:rPr>
        <w:t xml:space="preserve"> </w:t>
      </w:r>
      <w:r w:rsidRPr="003C1FF4">
        <w:rPr>
          <w:rFonts w:ascii="Arial" w:hAnsi="Arial" w:cs="Arial"/>
          <w:color w:val="000000"/>
          <w:sz w:val="18"/>
          <w:szCs w:val="18"/>
        </w:rPr>
        <w:t>усіх</w:t>
      </w:r>
      <w:r w:rsidRPr="00713994">
        <w:rPr>
          <w:rFonts w:ascii="Arial" w:hAnsi="Arial" w:cs="Arial"/>
          <w:color w:val="000000"/>
          <w:sz w:val="18"/>
          <w:szCs w:val="18"/>
        </w:rPr>
        <w:t xml:space="preserve"> </w:t>
      </w:r>
      <w:r w:rsidR="00C90CF8">
        <w:rPr>
          <w:rFonts w:ascii="Arial" w:hAnsi="Arial" w:cs="Arial"/>
          <w:color w:val="000000"/>
          <w:sz w:val="18"/>
          <w:szCs w:val="18"/>
        </w:rPr>
        <w:t>учасників</w:t>
      </w:r>
      <w:r w:rsidRPr="00713994">
        <w:rPr>
          <w:rFonts w:ascii="Arial" w:hAnsi="Arial" w:cs="Arial"/>
          <w:color w:val="000000"/>
          <w:sz w:val="18"/>
          <w:szCs w:val="18"/>
        </w:rPr>
        <w:t xml:space="preserve">,  </w:t>
      </w:r>
      <w:r w:rsidR="00C90CF8">
        <w:rPr>
          <w:rFonts w:ascii="Arial" w:hAnsi="Arial" w:cs="Arial"/>
          <w:color w:val="000000"/>
          <w:sz w:val="18"/>
          <w:szCs w:val="18"/>
        </w:rPr>
        <w:t xml:space="preserve">які отримували </w:t>
      </w:r>
      <w:r w:rsidRPr="003C1FF4">
        <w:rPr>
          <w:rFonts w:ascii="Arial" w:hAnsi="Arial" w:cs="Arial"/>
          <w:color w:val="000000"/>
          <w:sz w:val="18"/>
          <w:szCs w:val="18"/>
        </w:rPr>
        <w:t>БДК</w:t>
      </w:r>
      <w:r w:rsidR="00275DF0">
        <w:rPr>
          <w:rFonts w:ascii="Arial" w:hAnsi="Arial" w:cs="Arial"/>
          <w:color w:val="000000"/>
          <w:sz w:val="18"/>
          <w:szCs w:val="18"/>
        </w:rPr>
        <w:t xml:space="preserve"> </w:t>
      </w:r>
      <w:r w:rsidRPr="003C1FF4">
        <w:rPr>
          <w:rFonts w:ascii="Arial" w:hAnsi="Arial" w:cs="Arial"/>
          <w:color w:val="000000"/>
          <w:sz w:val="18"/>
          <w:szCs w:val="18"/>
        </w:rPr>
        <w:t>у</w:t>
      </w:r>
      <w:r w:rsidRPr="00713994">
        <w:rPr>
          <w:rFonts w:ascii="Arial" w:hAnsi="Arial" w:cs="Arial"/>
          <w:color w:val="000000"/>
          <w:sz w:val="18"/>
          <w:szCs w:val="18"/>
        </w:rPr>
        <w:t xml:space="preserve"> </w:t>
      </w:r>
      <w:r w:rsidRPr="003C1FF4">
        <w:rPr>
          <w:rFonts w:ascii="Arial" w:hAnsi="Arial" w:cs="Arial"/>
          <w:color w:val="000000"/>
          <w:sz w:val="18"/>
          <w:szCs w:val="18"/>
        </w:rPr>
        <w:t>дослідженні</w:t>
      </w:r>
      <w:r w:rsidRPr="00713994">
        <w:rPr>
          <w:rFonts w:ascii="Arial" w:hAnsi="Arial" w:cs="Arial"/>
          <w:color w:val="000000"/>
          <w:sz w:val="18"/>
          <w:szCs w:val="18"/>
        </w:rPr>
        <w:t xml:space="preserve"> </w:t>
      </w:r>
      <w:r w:rsidRPr="003C1FF4">
        <w:rPr>
          <w:rFonts w:ascii="Arial" w:hAnsi="Arial" w:cs="Arial"/>
          <w:color w:val="000000"/>
          <w:sz w:val="18"/>
          <w:szCs w:val="18"/>
          <w:lang w:val="en-US"/>
        </w:rPr>
        <w:t>C</w:t>
      </w:r>
      <w:r w:rsidRPr="00713994">
        <w:rPr>
          <w:rFonts w:ascii="Arial" w:hAnsi="Arial" w:cs="Arial"/>
          <w:color w:val="000000"/>
          <w:sz w:val="18"/>
          <w:szCs w:val="18"/>
        </w:rPr>
        <w:t xml:space="preserve">208, </w:t>
      </w:r>
      <w:r w:rsidRPr="003C1FF4">
        <w:rPr>
          <w:rFonts w:ascii="Arial" w:hAnsi="Arial" w:cs="Arial"/>
          <w:color w:val="000000"/>
          <w:sz w:val="18"/>
          <w:szCs w:val="18"/>
        </w:rPr>
        <w:t>фаза</w:t>
      </w:r>
      <w:r w:rsidRPr="00713994">
        <w:rPr>
          <w:rFonts w:ascii="Arial" w:hAnsi="Arial" w:cs="Arial"/>
          <w:color w:val="000000"/>
          <w:sz w:val="18"/>
          <w:szCs w:val="18"/>
        </w:rPr>
        <w:t xml:space="preserve"> 2, </w:t>
      </w:r>
      <w:r w:rsidRPr="003C1FF4">
        <w:rPr>
          <w:rFonts w:ascii="Arial" w:hAnsi="Arial" w:cs="Arial"/>
          <w:color w:val="000000"/>
          <w:sz w:val="18"/>
          <w:szCs w:val="18"/>
        </w:rPr>
        <w:t>незалежно</w:t>
      </w:r>
      <w:r w:rsidRPr="00713994">
        <w:rPr>
          <w:rFonts w:ascii="Arial" w:hAnsi="Arial" w:cs="Arial"/>
          <w:color w:val="000000"/>
          <w:sz w:val="18"/>
          <w:szCs w:val="18"/>
        </w:rPr>
        <w:t xml:space="preserve"> </w:t>
      </w:r>
      <w:r w:rsidRPr="003C1FF4">
        <w:rPr>
          <w:rFonts w:ascii="Arial" w:hAnsi="Arial" w:cs="Arial"/>
          <w:color w:val="000000"/>
          <w:sz w:val="18"/>
          <w:szCs w:val="18"/>
        </w:rPr>
        <w:t>від</w:t>
      </w:r>
      <w:r w:rsidRPr="00713994">
        <w:rPr>
          <w:rFonts w:ascii="Arial" w:hAnsi="Arial" w:cs="Arial"/>
          <w:color w:val="000000"/>
          <w:sz w:val="18"/>
          <w:szCs w:val="18"/>
        </w:rPr>
        <w:t xml:space="preserve"> </w:t>
      </w:r>
      <w:r w:rsidRPr="003C1FF4">
        <w:rPr>
          <w:rFonts w:ascii="Arial" w:hAnsi="Arial" w:cs="Arial"/>
          <w:color w:val="000000"/>
          <w:sz w:val="18"/>
          <w:szCs w:val="18"/>
        </w:rPr>
        <w:t>того</w:t>
      </w:r>
      <w:r w:rsidRPr="00713994">
        <w:rPr>
          <w:rFonts w:ascii="Arial" w:hAnsi="Arial" w:cs="Arial"/>
          <w:color w:val="000000"/>
          <w:sz w:val="18"/>
          <w:szCs w:val="18"/>
        </w:rPr>
        <w:t xml:space="preserve">, </w:t>
      </w:r>
      <w:r w:rsidRPr="003C1FF4">
        <w:rPr>
          <w:rFonts w:ascii="Arial" w:hAnsi="Arial" w:cs="Arial"/>
          <w:color w:val="000000"/>
          <w:sz w:val="18"/>
          <w:szCs w:val="18"/>
        </w:rPr>
        <w:t>коли</w:t>
      </w:r>
      <w:r w:rsidRPr="00713994">
        <w:rPr>
          <w:rFonts w:ascii="Arial" w:hAnsi="Arial" w:cs="Arial"/>
          <w:color w:val="000000"/>
          <w:sz w:val="18"/>
          <w:szCs w:val="18"/>
        </w:rPr>
        <w:t xml:space="preserve"> </w:t>
      </w:r>
      <w:r w:rsidRPr="003C1FF4">
        <w:rPr>
          <w:rFonts w:ascii="Arial" w:hAnsi="Arial" w:cs="Arial"/>
          <w:color w:val="000000"/>
          <w:sz w:val="18"/>
          <w:szCs w:val="18"/>
        </w:rPr>
        <w:t>настала</w:t>
      </w:r>
      <w:r w:rsidRPr="00713994">
        <w:rPr>
          <w:rFonts w:ascii="Arial" w:hAnsi="Arial" w:cs="Arial"/>
          <w:color w:val="000000"/>
          <w:sz w:val="18"/>
          <w:szCs w:val="18"/>
        </w:rPr>
        <w:t xml:space="preserve"> </w:t>
      </w:r>
      <w:r w:rsidRPr="003C1FF4">
        <w:rPr>
          <w:rFonts w:ascii="Arial" w:hAnsi="Arial" w:cs="Arial"/>
          <w:color w:val="000000"/>
          <w:sz w:val="18"/>
          <w:szCs w:val="18"/>
        </w:rPr>
        <w:t>смерть</w:t>
      </w:r>
      <w:r w:rsidRPr="00713994">
        <w:rPr>
          <w:rFonts w:ascii="Arial" w:hAnsi="Arial" w:cs="Arial"/>
          <w:color w:val="000000"/>
          <w:sz w:val="18"/>
          <w:szCs w:val="18"/>
        </w:rPr>
        <w:t xml:space="preserve"> (</w:t>
      </w:r>
      <w:r w:rsidRPr="003C1FF4">
        <w:rPr>
          <w:rFonts w:ascii="Arial" w:hAnsi="Arial" w:cs="Arial"/>
          <w:color w:val="000000"/>
          <w:sz w:val="18"/>
          <w:szCs w:val="18"/>
        </w:rPr>
        <w:t>тобто</w:t>
      </w:r>
      <w:r w:rsidRPr="00713994">
        <w:rPr>
          <w:rFonts w:ascii="Arial" w:hAnsi="Arial" w:cs="Arial"/>
          <w:color w:val="000000"/>
          <w:sz w:val="18"/>
          <w:szCs w:val="18"/>
        </w:rPr>
        <w:t xml:space="preserve">, </w:t>
      </w:r>
      <w:r w:rsidRPr="003C1FF4">
        <w:rPr>
          <w:rFonts w:ascii="Arial" w:hAnsi="Arial" w:cs="Arial"/>
          <w:color w:val="000000"/>
          <w:sz w:val="18"/>
          <w:szCs w:val="18"/>
        </w:rPr>
        <w:t>включаючи</w:t>
      </w:r>
      <w:r w:rsidRPr="00713994">
        <w:rPr>
          <w:rFonts w:ascii="Arial" w:hAnsi="Arial" w:cs="Arial"/>
          <w:color w:val="000000"/>
          <w:sz w:val="18"/>
          <w:szCs w:val="18"/>
        </w:rPr>
        <w:t xml:space="preserve"> </w:t>
      </w:r>
      <w:r w:rsidRPr="003C1FF4">
        <w:rPr>
          <w:rFonts w:ascii="Arial" w:hAnsi="Arial" w:cs="Arial"/>
          <w:color w:val="000000"/>
          <w:sz w:val="18"/>
          <w:szCs w:val="18"/>
        </w:rPr>
        <w:t>випадки</w:t>
      </w:r>
      <w:r w:rsidRPr="00713994">
        <w:rPr>
          <w:rFonts w:ascii="Arial" w:hAnsi="Arial" w:cs="Arial"/>
          <w:color w:val="000000"/>
          <w:sz w:val="18"/>
          <w:szCs w:val="18"/>
        </w:rPr>
        <w:t xml:space="preserve"> </w:t>
      </w:r>
      <w:r w:rsidRPr="003C1FF4">
        <w:rPr>
          <w:rFonts w:ascii="Arial" w:hAnsi="Arial" w:cs="Arial"/>
          <w:color w:val="000000"/>
          <w:sz w:val="18"/>
          <w:szCs w:val="18"/>
        </w:rPr>
        <w:t>смерті</w:t>
      </w:r>
      <w:r w:rsidRPr="00713994">
        <w:rPr>
          <w:rFonts w:ascii="Arial" w:hAnsi="Arial" w:cs="Arial"/>
          <w:color w:val="000000"/>
          <w:sz w:val="18"/>
          <w:szCs w:val="18"/>
        </w:rPr>
        <w:t xml:space="preserve"> </w:t>
      </w:r>
      <w:r w:rsidRPr="003C1FF4">
        <w:rPr>
          <w:rFonts w:ascii="Arial" w:hAnsi="Arial" w:cs="Arial"/>
          <w:color w:val="000000"/>
          <w:sz w:val="18"/>
          <w:szCs w:val="18"/>
        </w:rPr>
        <w:t>після</w:t>
      </w:r>
      <w:r w:rsidRPr="00713994">
        <w:rPr>
          <w:rFonts w:ascii="Arial" w:hAnsi="Arial" w:cs="Arial"/>
          <w:color w:val="000000"/>
          <w:sz w:val="18"/>
          <w:szCs w:val="18"/>
        </w:rPr>
        <w:t xml:space="preserve"> 120 </w:t>
      </w:r>
      <w:r w:rsidRPr="003C1FF4">
        <w:rPr>
          <w:rFonts w:ascii="Arial" w:hAnsi="Arial" w:cs="Arial"/>
          <w:color w:val="000000"/>
          <w:sz w:val="18"/>
          <w:szCs w:val="18"/>
        </w:rPr>
        <w:t>тижнів</w:t>
      </w:r>
      <w:r w:rsidR="00C90CF8">
        <w:rPr>
          <w:rFonts w:ascii="Arial" w:hAnsi="Arial" w:cs="Arial"/>
          <w:color w:val="000000"/>
          <w:sz w:val="18"/>
          <w:szCs w:val="18"/>
        </w:rPr>
        <w:t>):</w:t>
      </w:r>
      <w:r w:rsidRPr="00713994">
        <w:rPr>
          <w:rFonts w:ascii="Arial" w:hAnsi="Arial" w:cs="Arial"/>
          <w:color w:val="000000"/>
          <w:sz w:val="18"/>
          <w:szCs w:val="18"/>
        </w:rPr>
        <w:t xml:space="preserve"> 10 </w:t>
      </w:r>
      <w:r w:rsidRPr="003C1FF4">
        <w:rPr>
          <w:rFonts w:ascii="Arial" w:hAnsi="Arial" w:cs="Arial"/>
          <w:color w:val="000000"/>
          <w:sz w:val="18"/>
          <w:szCs w:val="18"/>
        </w:rPr>
        <w:t>смертей</w:t>
      </w:r>
      <w:r w:rsidRPr="00713994">
        <w:rPr>
          <w:rFonts w:ascii="Arial" w:hAnsi="Arial" w:cs="Arial"/>
          <w:color w:val="000000"/>
          <w:sz w:val="18"/>
          <w:szCs w:val="18"/>
        </w:rPr>
        <w:t xml:space="preserve"> </w:t>
      </w:r>
      <w:r w:rsidRPr="003C1FF4">
        <w:rPr>
          <w:rFonts w:ascii="Arial" w:hAnsi="Arial" w:cs="Arial"/>
          <w:color w:val="000000"/>
          <w:sz w:val="18"/>
          <w:szCs w:val="18"/>
        </w:rPr>
        <w:t>у</w:t>
      </w:r>
      <w:r w:rsidRPr="00713994">
        <w:rPr>
          <w:rFonts w:ascii="Arial" w:hAnsi="Arial" w:cs="Arial"/>
          <w:color w:val="000000"/>
          <w:sz w:val="18"/>
          <w:szCs w:val="18"/>
        </w:rPr>
        <w:t xml:space="preserve"> </w:t>
      </w:r>
      <w:r w:rsidR="00C90CF8" w:rsidRPr="003C1FF4">
        <w:rPr>
          <w:rFonts w:ascii="Arial" w:hAnsi="Arial" w:cs="Arial"/>
          <w:color w:val="000000"/>
          <w:sz w:val="18"/>
          <w:szCs w:val="18"/>
        </w:rPr>
        <w:t>групі</w:t>
      </w:r>
      <w:r w:rsidR="00C90CF8" w:rsidRPr="00713994">
        <w:rPr>
          <w:rFonts w:ascii="Arial" w:hAnsi="Arial" w:cs="Arial"/>
          <w:color w:val="000000"/>
          <w:sz w:val="18"/>
          <w:szCs w:val="18"/>
        </w:rPr>
        <w:t xml:space="preserve"> </w:t>
      </w:r>
      <w:r w:rsidRPr="003C1FF4">
        <w:rPr>
          <w:rFonts w:ascii="Arial" w:hAnsi="Arial" w:cs="Arial"/>
          <w:color w:val="000000"/>
          <w:sz w:val="18"/>
          <w:szCs w:val="18"/>
        </w:rPr>
        <w:t>БДК</w:t>
      </w:r>
      <w:r w:rsidRPr="00713994">
        <w:rPr>
          <w:rFonts w:ascii="Arial" w:hAnsi="Arial" w:cs="Arial"/>
          <w:color w:val="000000"/>
          <w:sz w:val="18"/>
          <w:szCs w:val="18"/>
        </w:rPr>
        <w:t xml:space="preserve"> </w:t>
      </w:r>
      <w:r w:rsidRPr="003C1FF4">
        <w:rPr>
          <w:rFonts w:ascii="Arial" w:hAnsi="Arial" w:cs="Arial"/>
          <w:color w:val="000000"/>
          <w:sz w:val="18"/>
          <w:szCs w:val="18"/>
        </w:rPr>
        <w:t>та</w:t>
      </w:r>
      <w:r w:rsidRPr="00713994">
        <w:rPr>
          <w:rFonts w:ascii="Arial" w:hAnsi="Arial" w:cs="Arial"/>
          <w:color w:val="000000"/>
          <w:sz w:val="18"/>
          <w:szCs w:val="18"/>
        </w:rPr>
        <w:t xml:space="preserve"> 2 -  </w:t>
      </w:r>
      <w:r w:rsidRPr="003C1FF4">
        <w:rPr>
          <w:rFonts w:ascii="Arial" w:hAnsi="Arial" w:cs="Arial"/>
          <w:color w:val="000000"/>
          <w:sz w:val="18"/>
          <w:szCs w:val="18"/>
        </w:rPr>
        <w:t>у</w:t>
      </w:r>
      <w:r w:rsidRPr="00713994">
        <w:rPr>
          <w:rFonts w:ascii="Arial" w:hAnsi="Arial" w:cs="Arial"/>
          <w:color w:val="000000"/>
          <w:sz w:val="18"/>
          <w:szCs w:val="18"/>
        </w:rPr>
        <w:t xml:space="preserve"> </w:t>
      </w:r>
      <w:r w:rsidRPr="003C1FF4">
        <w:rPr>
          <w:rFonts w:ascii="Arial" w:hAnsi="Arial" w:cs="Arial"/>
          <w:color w:val="000000"/>
          <w:sz w:val="18"/>
          <w:szCs w:val="18"/>
        </w:rPr>
        <w:t>групі</w:t>
      </w:r>
      <w:r w:rsidRPr="00713994">
        <w:rPr>
          <w:rFonts w:ascii="Arial" w:hAnsi="Arial" w:cs="Arial"/>
          <w:color w:val="000000"/>
          <w:sz w:val="18"/>
          <w:szCs w:val="18"/>
        </w:rPr>
        <w:t xml:space="preserve"> </w:t>
      </w:r>
      <w:r w:rsidRPr="003C1FF4">
        <w:rPr>
          <w:rFonts w:ascii="Arial" w:hAnsi="Arial" w:cs="Arial"/>
          <w:color w:val="000000"/>
          <w:sz w:val="18"/>
          <w:szCs w:val="18"/>
        </w:rPr>
        <w:t>плацебо</w:t>
      </w:r>
      <w:r w:rsidRPr="00713994">
        <w:rPr>
          <w:rFonts w:ascii="Arial" w:hAnsi="Arial" w:cs="Arial"/>
          <w:color w:val="000000"/>
          <w:sz w:val="18"/>
          <w:szCs w:val="18"/>
        </w:rPr>
        <w:t>.</w:t>
      </w:r>
      <w:r w:rsidR="00C90CF8">
        <w:rPr>
          <w:rFonts w:ascii="Arial" w:hAnsi="Arial" w:cs="Arial"/>
          <w:color w:val="000000"/>
          <w:sz w:val="18"/>
          <w:szCs w:val="18"/>
        </w:rPr>
        <w:t xml:space="preserve"> </w:t>
      </w:r>
      <w:r w:rsidR="00E568A1" w:rsidRPr="00781F69">
        <w:rPr>
          <w:rFonts w:ascii="Arial" w:hAnsi="Arial" w:cs="Arial"/>
          <w:color w:val="000000"/>
          <w:sz w:val="18"/>
          <w:szCs w:val="18"/>
        </w:rPr>
        <w:t>Підрахунок</w:t>
      </w:r>
      <w:r w:rsidR="00E568A1" w:rsidRPr="00713994">
        <w:rPr>
          <w:rFonts w:ascii="Arial" w:hAnsi="Arial" w:cs="Arial"/>
          <w:color w:val="000000"/>
          <w:sz w:val="18"/>
          <w:szCs w:val="18"/>
        </w:rPr>
        <w:t xml:space="preserve"> </w:t>
      </w:r>
      <w:r w:rsidR="00E568A1" w:rsidRPr="00781F69">
        <w:rPr>
          <w:rFonts w:ascii="Arial" w:hAnsi="Arial" w:cs="Arial"/>
          <w:color w:val="000000"/>
          <w:sz w:val="18"/>
          <w:szCs w:val="18"/>
        </w:rPr>
        <w:t>летальних</w:t>
      </w:r>
      <w:r w:rsidR="00E568A1" w:rsidRPr="00713994">
        <w:rPr>
          <w:rFonts w:ascii="Arial" w:hAnsi="Arial" w:cs="Arial"/>
          <w:color w:val="000000"/>
          <w:sz w:val="18"/>
          <w:szCs w:val="18"/>
        </w:rPr>
        <w:t xml:space="preserve"> </w:t>
      </w:r>
      <w:r w:rsidR="00E568A1" w:rsidRPr="00781F69">
        <w:rPr>
          <w:rFonts w:ascii="Arial" w:hAnsi="Arial" w:cs="Arial"/>
          <w:color w:val="000000"/>
          <w:sz w:val="18"/>
          <w:szCs w:val="18"/>
        </w:rPr>
        <w:t>випадків</w:t>
      </w:r>
      <w:r w:rsidR="00E568A1" w:rsidRPr="00713994">
        <w:rPr>
          <w:rFonts w:ascii="Arial" w:hAnsi="Arial" w:cs="Arial"/>
          <w:color w:val="000000"/>
          <w:sz w:val="18"/>
          <w:szCs w:val="18"/>
        </w:rPr>
        <w:t xml:space="preserve"> </w:t>
      </w:r>
      <w:r w:rsidR="00E568A1" w:rsidRPr="00781F69">
        <w:rPr>
          <w:rFonts w:ascii="Arial" w:hAnsi="Arial" w:cs="Arial"/>
          <w:color w:val="000000"/>
          <w:sz w:val="18"/>
          <w:szCs w:val="18"/>
        </w:rPr>
        <w:t>було</w:t>
      </w:r>
      <w:r w:rsidR="00E568A1" w:rsidRPr="00713994">
        <w:rPr>
          <w:rFonts w:ascii="Arial" w:hAnsi="Arial" w:cs="Arial"/>
          <w:color w:val="000000"/>
          <w:sz w:val="18"/>
          <w:szCs w:val="18"/>
        </w:rPr>
        <w:t xml:space="preserve"> </w:t>
      </w:r>
      <w:r w:rsidR="00E568A1" w:rsidRPr="00781F69">
        <w:rPr>
          <w:rFonts w:ascii="Arial" w:hAnsi="Arial" w:cs="Arial"/>
          <w:color w:val="000000"/>
          <w:sz w:val="18"/>
          <w:szCs w:val="18"/>
        </w:rPr>
        <w:t>здійснено</w:t>
      </w:r>
      <w:r w:rsidR="00C90CF8">
        <w:rPr>
          <w:rFonts w:ascii="Arial" w:hAnsi="Arial" w:cs="Arial"/>
          <w:color w:val="000000"/>
          <w:sz w:val="18"/>
          <w:szCs w:val="18"/>
        </w:rPr>
        <w:t xml:space="preserve"> згідно граничного показника </w:t>
      </w:r>
      <w:r w:rsidR="00E568A1" w:rsidRPr="00781F69">
        <w:rPr>
          <w:rFonts w:ascii="Arial" w:hAnsi="Arial" w:cs="Arial"/>
          <w:color w:val="000000"/>
          <w:sz w:val="18"/>
          <w:szCs w:val="18"/>
        </w:rPr>
        <w:t>у</w:t>
      </w:r>
      <w:r w:rsidR="00E568A1" w:rsidRPr="00713994">
        <w:rPr>
          <w:rFonts w:ascii="Arial" w:hAnsi="Arial" w:cs="Arial"/>
          <w:color w:val="000000"/>
          <w:sz w:val="18"/>
          <w:szCs w:val="18"/>
        </w:rPr>
        <w:t xml:space="preserve"> 120 </w:t>
      </w:r>
      <w:r w:rsidR="00E568A1" w:rsidRPr="00781F69">
        <w:rPr>
          <w:rFonts w:ascii="Arial" w:hAnsi="Arial" w:cs="Arial"/>
          <w:color w:val="000000"/>
          <w:sz w:val="18"/>
          <w:szCs w:val="18"/>
        </w:rPr>
        <w:t>тижнів</w:t>
      </w:r>
      <w:r w:rsidR="00E568A1" w:rsidRPr="00713994">
        <w:rPr>
          <w:rFonts w:ascii="Arial" w:hAnsi="Arial" w:cs="Arial"/>
          <w:color w:val="000000"/>
          <w:sz w:val="18"/>
          <w:szCs w:val="18"/>
        </w:rPr>
        <w:t xml:space="preserve"> </w:t>
      </w:r>
      <w:r w:rsidR="00C90CF8">
        <w:rPr>
          <w:rFonts w:ascii="Arial" w:hAnsi="Arial" w:cs="Arial"/>
          <w:color w:val="000000"/>
          <w:sz w:val="18"/>
          <w:szCs w:val="18"/>
        </w:rPr>
        <w:t xml:space="preserve">і було </w:t>
      </w:r>
      <w:r w:rsidR="00E568A1" w:rsidRPr="00781F69">
        <w:rPr>
          <w:rFonts w:ascii="Arial" w:hAnsi="Arial" w:cs="Arial"/>
          <w:color w:val="000000"/>
          <w:sz w:val="18"/>
          <w:szCs w:val="18"/>
        </w:rPr>
        <w:t>виявив</w:t>
      </w:r>
      <w:r w:rsidR="00C90CF8">
        <w:rPr>
          <w:rFonts w:ascii="Arial" w:hAnsi="Arial" w:cs="Arial"/>
          <w:color w:val="000000"/>
          <w:sz w:val="18"/>
          <w:szCs w:val="18"/>
        </w:rPr>
        <w:t>лено</w:t>
      </w:r>
      <w:r w:rsidR="00E568A1" w:rsidRPr="00713994">
        <w:rPr>
          <w:rFonts w:ascii="Arial" w:hAnsi="Arial" w:cs="Arial"/>
          <w:color w:val="000000"/>
          <w:sz w:val="18"/>
          <w:szCs w:val="18"/>
        </w:rPr>
        <w:t xml:space="preserve"> </w:t>
      </w:r>
      <w:r w:rsidR="00E568A1" w:rsidRPr="00781F69">
        <w:rPr>
          <w:rFonts w:ascii="Arial" w:hAnsi="Arial" w:cs="Arial"/>
          <w:color w:val="000000"/>
          <w:sz w:val="18"/>
          <w:szCs w:val="18"/>
        </w:rPr>
        <w:t>9 вип</w:t>
      </w:r>
      <w:r w:rsidR="00C90CF8">
        <w:rPr>
          <w:rFonts w:ascii="Arial" w:hAnsi="Arial" w:cs="Arial"/>
          <w:color w:val="000000"/>
          <w:sz w:val="18"/>
          <w:szCs w:val="18"/>
        </w:rPr>
        <w:t>адків смерті у групі БДК та 1</w:t>
      </w:r>
      <w:r w:rsidR="00E568A1" w:rsidRPr="00781F69">
        <w:rPr>
          <w:rFonts w:ascii="Arial" w:hAnsi="Arial" w:cs="Arial"/>
          <w:color w:val="000000"/>
          <w:sz w:val="18"/>
          <w:szCs w:val="18"/>
        </w:rPr>
        <w:t xml:space="preserve">  -  у групі плацебо.</w:t>
      </w:r>
    </w:p>
    <w:p w14:paraId="6F2E1E19" w14:textId="78C2F755" w:rsidR="00E568A1" w:rsidRPr="003C1FF4" w:rsidRDefault="00E568A1" w:rsidP="00A0621E">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rPr>
        <w:t>12</w:t>
      </w:r>
      <w:r w:rsidRPr="003C1FF4">
        <w:rPr>
          <w:rFonts w:ascii="Arial" w:hAnsi="Arial" w:cs="Arial"/>
          <w:color w:val="000000"/>
          <w:sz w:val="18"/>
          <w:szCs w:val="18"/>
        </w:rPr>
        <w:t xml:space="preserve"> Занепокоєння</w:t>
      </w:r>
      <w:r w:rsidR="003C1FF4">
        <w:rPr>
          <w:rFonts w:ascii="Arial" w:hAnsi="Arial" w:cs="Arial"/>
          <w:color w:val="000000"/>
          <w:sz w:val="18"/>
          <w:szCs w:val="18"/>
          <w:lang w:val="uk-UA"/>
        </w:rPr>
        <w:t xml:space="preserve"> стосовно того</w:t>
      </w:r>
      <w:r w:rsidRPr="003C1FF4">
        <w:rPr>
          <w:rFonts w:ascii="Arial" w:hAnsi="Arial" w:cs="Arial"/>
          <w:color w:val="000000"/>
          <w:sz w:val="18"/>
          <w:szCs w:val="18"/>
        </w:rPr>
        <w:t xml:space="preserve">, </w:t>
      </w:r>
      <w:r w:rsidR="003C1FF4">
        <w:rPr>
          <w:rFonts w:ascii="Arial" w:hAnsi="Arial" w:cs="Arial"/>
          <w:color w:val="000000"/>
          <w:sz w:val="18"/>
          <w:szCs w:val="18"/>
          <w:lang w:val="uk-UA"/>
        </w:rPr>
        <w:t>що</w:t>
      </w:r>
      <w:r w:rsidR="00C90CF8">
        <w:rPr>
          <w:rFonts w:ascii="Arial" w:hAnsi="Arial" w:cs="Arial"/>
          <w:color w:val="000000"/>
          <w:sz w:val="18"/>
          <w:szCs w:val="18"/>
          <w:lang w:val="uk-UA"/>
        </w:rPr>
        <w:t xml:space="preserve"> з призначенням</w:t>
      </w:r>
      <w:r w:rsidR="003C1FF4">
        <w:rPr>
          <w:rFonts w:ascii="Arial" w:hAnsi="Arial" w:cs="Arial"/>
          <w:color w:val="000000"/>
          <w:sz w:val="18"/>
          <w:szCs w:val="18"/>
          <w:lang w:val="uk-UA"/>
        </w:rPr>
        <w:t xml:space="preserve"> ан</w:t>
      </w:r>
      <w:r w:rsidR="00C90CF8">
        <w:rPr>
          <w:rFonts w:ascii="Arial" w:hAnsi="Arial" w:cs="Arial"/>
          <w:color w:val="000000"/>
          <w:sz w:val="18"/>
          <w:szCs w:val="18"/>
          <w:lang w:val="uk-UA"/>
        </w:rPr>
        <w:t>тиретровірсній терпаії пацієнтам</w:t>
      </w:r>
      <w:r w:rsidR="003C1FF4">
        <w:rPr>
          <w:rFonts w:ascii="Arial" w:hAnsi="Arial" w:cs="Arial"/>
          <w:color w:val="000000"/>
          <w:sz w:val="18"/>
          <w:szCs w:val="18"/>
          <w:lang w:val="uk-UA"/>
        </w:rPr>
        <w:t xml:space="preserve"> з ВІЛ-інфекцією</w:t>
      </w:r>
      <w:r w:rsidR="00C90CF8">
        <w:rPr>
          <w:rFonts w:ascii="Arial" w:hAnsi="Arial" w:cs="Arial"/>
          <w:color w:val="000000"/>
          <w:sz w:val="18"/>
          <w:szCs w:val="18"/>
          <w:lang w:val="uk-UA"/>
        </w:rPr>
        <w:t>,</w:t>
      </w:r>
      <w:r w:rsidR="003C1FF4">
        <w:rPr>
          <w:rFonts w:ascii="Arial" w:hAnsi="Arial" w:cs="Arial"/>
          <w:color w:val="000000"/>
          <w:sz w:val="18"/>
          <w:szCs w:val="18"/>
          <w:lang w:val="uk-UA"/>
        </w:rPr>
        <w:t xml:space="preserve"> </w:t>
      </w:r>
      <w:r w:rsidR="00C90CF8">
        <w:rPr>
          <w:rFonts w:ascii="Arial" w:hAnsi="Arial" w:cs="Arial"/>
          <w:color w:val="000000"/>
          <w:sz w:val="18"/>
          <w:szCs w:val="18"/>
        </w:rPr>
        <w:t>можлива</w:t>
      </w:r>
      <w:r w:rsidR="003C1FF4" w:rsidRPr="003C1FF4">
        <w:rPr>
          <w:rFonts w:ascii="Arial" w:hAnsi="Arial" w:cs="Arial"/>
          <w:color w:val="000000"/>
          <w:sz w:val="18"/>
          <w:szCs w:val="18"/>
        </w:rPr>
        <w:t xml:space="preserve"> </w:t>
      </w:r>
      <w:r w:rsidRPr="003C1FF4">
        <w:rPr>
          <w:rFonts w:ascii="Arial" w:hAnsi="Arial" w:cs="Arial"/>
          <w:color w:val="000000"/>
          <w:sz w:val="18"/>
          <w:szCs w:val="18"/>
        </w:rPr>
        <w:t xml:space="preserve">взаємодія між лікарськими препаратами, що </w:t>
      </w:r>
      <w:r w:rsidR="00C90CF8">
        <w:rPr>
          <w:rFonts w:ascii="Arial" w:hAnsi="Arial" w:cs="Arial"/>
          <w:color w:val="000000"/>
          <w:sz w:val="18"/>
          <w:szCs w:val="18"/>
        </w:rPr>
        <w:t xml:space="preserve">може призвести до </w:t>
      </w:r>
      <w:r w:rsidRPr="003C1FF4">
        <w:rPr>
          <w:rFonts w:ascii="Arial" w:hAnsi="Arial" w:cs="Arial"/>
          <w:color w:val="000000"/>
          <w:sz w:val="18"/>
          <w:szCs w:val="18"/>
        </w:rPr>
        <w:t>вини</w:t>
      </w:r>
      <w:r w:rsidR="00C90CF8">
        <w:rPr>
          <w:rFonts w:ascii="Arial" w:hAnsi="Arial" w:cs="Arial"/>
          <w:color w:val="000000"/>
          <w:sz w:val="18"/>
          <w:szCs w:val="18"/>
        </w:rPr>
        <w:t xml:space="preserve">кнення тяжких побічних реакцій </w:t>
      </w:r>
      <w:r w:rsidRPr="003C1FF4">
        <w:rPr>
          <w:rFonts w:ascii="Arial" w:hAnsi="Arial" w:cs="Arial"/>
          <w:color w:val="000000"/>
          <w:sz w:val="18"/>
          <w:szCs w:val="18"/>
        </w:rPr>
        <w:t>та смертність.</w:t>
      </w:r>
    </w:p>
    <w:p w14:paraId="22703AE6" w14:textId="77777777" w:rsidR="00E568A1" w:rsidRPr="00C90EB7" w:rsidRDefault="00E568A1" w:rsidP="009B51D9">
      <w:pPr>
        <w:autoSpaceDE w:val="0"/>
        <w:autoSpaceDN w:val="0"/>
        <w:adjustRightInd w:val="0"/>
        <w:spacing w:after="0" w:line="240" w:lineRule="auto"/>
        <w:jc w:val="both"/>
        <w:outlineLvl w:val="0"/>
        <w:rPr>
          <w:rFonts w:ascii="Arial" w:hAnsi="Arial" w:cs="Arial"/>
          <w:color w:val="000000"/>
          <w:sz w:val="18"/>
          <w:szCs w:val="18"/>
        </w:rPr>
      </w:pPr>
      <w:r w:rsidRPr="00246A3F">
        <w:rPr>
          <w:rFonts w:ascii="Arial" w:hAnsi="Arial" w:cs="Arial"/>
          <w:b/>
          <w:color w:val="000000"/>
          <w:sz w:val="18"/>
          <w:szCs w:val="18"/>
        </w:rPr>
        <w:t>13</w:t>
      </w:r>
      <w:r>
        <w:rPr>
          <w:rFonts w:ascii="Arial" w:hAnsi="Arial" w:cs="Arial"/>
          <w:color w:val="000000"/>
          <w:sz w:val="18"/>
          <w:szCs w:val="18"/>
        </w:rPr>
        <w:t xml:space="preserve"> То</w:t>
      </w:r>
      <w:r w:rsidRPr="00C90EB7">
        <w:rPr>
          <w:rFonts w:ascii="Arial" w:hAnsi="Arial" w:cs="Arial"/>
          <w:color w:val="000000"/>
          <w:sz w:val="18"/>
          <w:szCs w:val="18"/>
        </w:rPr>
        <w:t>чний критерій Фішера р = 0,017; по Пірсону р = 0,014.</w:t>
      </w:r>
    </w:p>
    <w:p w14:paraId="26514FC7" w14:textId="6015ACEF" w:rsidR="00E568A1" w:rsidRDefault="00E568A1" w:rsidP="00A0621E">
      <w:pPr>
        <w:autoSpaceDE w:val="0"/>
        <w:autoSpaceDN w:val="0"/>
        <w:adjustRightInd w:val="0"/>
        <w:spacing w:after="0" w:line="240" w:lineRule="auto"/>
        <w:jc w:val="both"/>
        <w:rPr>
          <w:rFonts w:ascii="Arial" w:hAnsi="Arial" w:cs="Arial"/>
          <w:color w:val="000000"/>
          <w:sz w:val="18"/>
          <w:szCs w:val="18"/>
          <w:lang w:val="uk-UA"/>
        </w:rPr>
      </w:pPr>
      <w:r w:rsidRPr="00246A3F">
        <w:rPr>
          <w:rFonts w:ascii="Arial" w:hAnsi="Arial" w:cs="Arial"/>
          <w:b/>
          <w:color w:val="000000"/>
          <w:sz w:val="18"/>
          <w:szCs w:val="18"/>
        </w:rPr>
        <w:t xml:space="preserve">14 </w:t>
      </w:r>
      <w:r w:rsidRPr="003C1FF4">
        <w:rPr>
          <w:rFonts w:ascii="Arial" w:hAnsi="Arial" w:cs="Arial"/>
          <w:color w:val="000000"/>
          <w:sz w:val="18"/>
          <w:szCs w:val="18"/>
        </w:rPr>
        <w:t>Дисбаланс летальних випадків незрозумілий; клінічні фактори (такі як ВІЛ-статус або тяжкість захворювання) та клінічний результат (поліпшення стану захворювання або ні), здаєтьс</w:t>
      </w:r>
      <w:r w:rsidR="00C90CF8">
        <w:rPr>
          <w:rFonts w:ascii="Arial" w:hAnsi="Arial" w:cs="Arial"/>
          <w:color w:val="000000"/>
          <w:sz w:val="18"/>
          <w:szCs w:val="18"/>
        </w:rPr>
        <w:t>я, не пов'язані з більш високим/</w:t>
      </w:r>
      <w:r w:rsidRPr="003C1FF4">
        <w:rPr>
          <w:rFonts w:ascii="Arial" w:hAnsi="Arial" w:cs="Arial"/>
          <w:color w:val="000000"/>
          <w:sz w:val="18"/>
          <w:szCs w:val="18"/>
        </w:rPr>
        <w:t>меншим</w:t>
      </w:r>
      <w:r w:rsidR="003C1FF4">
        <w:rPr>
          <w:rFonts w:ascii="Arial" w:hAnsi="Arial" w:cs="Arial"/>
          <w:color w:val="000000"/>
          <w:sz w:val="18"/>
          <w:szCs w:val="18"/>
          <w:lang w:val="uk-UA"/>
        </w:rPr>
        <w:t xml:space="preserve"> рівнем</w:t>
      </w:r>
      <w:r w:rsidR="003C1FF4" w:rsidRPr="003C1FF4">
        <w:rPr>
          <w:rFonts w:ascii="Arial" w:hAnsi="Arial" w:cs="Arial"/>
          <w:color w:val="000000"/>
          <w:sz w:val="18"/>
          <w:szCs w:val="18"/>
        </w:rPr>
        <w:t xml:space="preserve"> ризику</w:t>
      </w:r>
      <w:r w:rsidRPr="003C1FF4">
        <w:rPr>
          <w:rFonts w:ascii="Arial" w:hAnsi="Arial" w:cs="Arial"/>
          <w:color w:val="000000"/>
          <w:sz w:val="18"/>
          <w:szCs w:val="18"/>
        </w:rPr>
        <w:t xml:space="preserve"> настання смерті.</w:t>
      </w:r>
    </w:p>
    <w:p w14:paraId="5C33594F" w14:textId="49DF770B" w:rsidR="00E568A1" w:rsidRPr="00A60AE1" w:rsidRDefault="00E568A1" w:rsidP="009B51D9">
      <w:pPr>
        <w:autoSpaceDE w:val="0"/>
        <w:autoSpaceDN w:val="0"/>
        <w:adjustRightInd w:val="0"/>
        <w:spacing w:after="0" w:line="240" w:lineRule="auto"/>
        <w:jc w:val="both"/>
        <w:outlineLvl w:val="0"/>
        <w:rPr>
          <w:rFonts w:ascii="Arial" w:hAnsi="Arial" w:cs="Arial"/>
          <w:color w:val="000000"/>
          <w:sz w:val="18"/>
          <w:szCs w:val="18"/>
          <w:lang w:val="uk-UA"/>
        </w:rPr>
      </w:pPr>
      <w:r w:rsidRPr="00246A3F">
        <w:rPr>
          <w:rFonts w:ascii="Arial" w:hAnsi="Arial" w:cs="Arial"/>
          <w:b/>
          <w:color w:val="000000"/>
          <w:sz w:val="18"/>
          <w:szCs w:val="18"/>
          <w:lang w:val="uk-UA"/>
        </w:rPr>
        <w:t>15</w:t>
      </w:r>
      <w:r w:rsidRPr="00A60AE1">
        <w:rPr>
          <w:rFonts w:ascii="Arial" w:hAnsi="Arial" w:cs="Arial"/>
          <w:color w:val="000000"/>
          <w:sz w:val="18"/>
          <w:szCs w:val="18"/>
          <w:lang w:val="uk-UA"/>
        </w:rPr>
        <w:t xml:space="preserve"> </w:t>
      </w:r>
      <w:r>
        <w:rPr>
          <w:rFonts w:ascii="Arial" w:hAnsi="Arial" w:cs="Arial"/>
          <w:color w:val="000000"/>
          <w:sz w:val="18"/>
          <w:szCs w:val="18"/>
          <w:lang w:val="uk-UA"/>
        </w:rPr>
        <w:t xml:space="preserve">Дивись </w:t>
      </w:r>
      <w:r w:rsidR="00527611">
        <w:rPr>
          <w:rFonts w:ascii="Arial" w:hAnsi="Arial" w:cs="Arial"/>
          <w:color w:val="000000"/>
          <w:sz w:val="18"/>
          <w:szCs w:val="18"/>
          <w:lang w:val="uk-UA"/>
        </w:rPr>
        <w:t>Інформаційний документ</w:t>
      </w:r>
      <w:r>
        <w:rPr>
          <w:rFonts w:ascii="Arial" w:hAnsi="Arial" w:cs="Arial"/>
          <w:color w:val="000000"/>
          <w:sz w:val="18"/>
          <w:szCs w:val="18"/>
          <w:lang w:val="uk-UA"/>
        </w:rPr>
        <w:t>, малюнок  22</w:t>
      </w:r>
      <w:r w:rsidRPr="00A60AE1">
        <w:rPr>
          <w:rFonts w:ascii="Arial" w:hAnsi="Arial" w:cs="Arial"/>
          <w:color w:val="000000"/>
          <w:sz w:val="18"/>
          <w:szCs w:val="18"/>
          <w:lang w:val="uk-UA"/>
        </w:rPr>
        <w:t>.</w:t>
      </w:r>
    </w:p>
    <w:p w14:paraId="525BE400" w14:textId="0252F7CD" w:rsidR="003C1FF4" w:rsidRDefault="00E568A1" w:rsidP="00A0621E">
      <w:pPr>
        <w:autoSpaceDE w:val="0"/>
        <w:autoSpaceDN w:val="0"/>
        <w:adjustRightInd w:val="0"/>
        <w:spacing w:after="0" w:line="240" w:lineRule="auto"/>
        <w:jc w:val="both"/>
        <w:rPr>
          <w:rFonts w:ascii="Helvetica" w:hAnsi="Helvetica"/>
          <w:color w:val="000000"/>
          <w:sz w:val="18"/>
          <w:szCs w:val="18"/>
          <w:shd w:val="clear" w:color="auto" w:fill="FFFFFF"/>
          <w:lang w:val="uk-UA"/>
        </w:rPr>
      </w:pPr>
      <w:r w:rsidRPr="00246A3F">
        <w:rPr>
          <w:rFonts w:ascii="Helvetica" w:hAnsi="Helvetica"/>
          <w:b/>
          <w:color w:val="000000"/>
          <w:sz w:val="18"/>
          <w:szCs w:val="18"/>
          <w:shd w:val="clear" w:color="auto" w:fill="FFFFFF"/>
          <w:lang w:val="uk-UA"/>
        </w:rPr>
        <w:t>16</w:t>
      </w:r>
      <w:r w:rsidRPr="003C1FF4">
        <w:rPr>
          <w:rFonts w:ascii="Helvetica" w:hAnsi="Helvetica"/>
          <w:color w:val="000000"/>
          <w:sz w:val="18"/>
          <w:szCs w:val="18"/>
          <w:shd w:val="clear" w:color="auto" w:fill="FFFFFF"/>
          <w:lang w:val="uk-UA"/>
        </w:rPr>
        <w:t xml:space="preserve"> Занепокоєння стосовно екс</w:t>
      </w:r>
      <w:r w:rsidR="00527611">
        <w:rPr>
          <w:rFonts w:ascii="Helvetica" w:hAnsi="Helvetica"/>
          <w:color w:val="000000"/>
          <w:sz w:val="18"/>
          <w:szCs w:val="18"/>
          <w:shd w:val="clear" w:color="auto" w:fill="FFFFFF"/>
          <w:lang w:val="uk-UA"/>
        </w:rPr>
        <w:t>траполяції на загальну популяцію</w:t>
      </w:r>
      <w:r w:rsidRPr="003C1FF4">
        <w:rPr>
          <w:rFonts w:ascii="Helvetica" w:hAnsi="Helvetica"/>
          <w:color w:val="000000"/>
          <w:sz w:val="18"/>
          <w:szCs w:val="18"/>
          <w:shd w:val="clear" w:color="auto" w:fill="FFFFFF"/>
          <w:lang w:val="uk-UA"/>
        </w:rPr>
        <w:t>; режим фонового лікування вважався субоптимальним та не відповідав рекомендованим ВООЗ режимам (паразинамід (</w:t>
      </w:r>
      <w:r w:rsidRPr="003C1FF4">
        <w:rPr>
          <w:rFonts w:ascii="Helvetica" w:hAnsi="Helvetica"/>
          <w:color w:val="000000"/>
          <w:sz w:val="18"/>
          <w:szCs w:val="18"/>
          <w:shd w:val="clear" w:color="auto" w:fill="FFFFFF"/>
          <w:lang w:val="en-US"/>
        </w:rPr>
        <w:t>PZA</w:t>
      </w:r>
      <w:r w:rsidRPr="003C1FF4">
        <w:rPr>
          <w:rFonts w:ascii="Helvetica" w:hAnsi="Helvetica"/>
          <w:color w:val="000000"/>
          <w:sz w:val="18"/>
          <w:szCs w:val="18"/>
          <w:shd w:val="clear" w:color="auto" w:fill="FFFFFF"/>
          <w:lang w:val="uk-UA"/>
        </w:rPr>
        <w:t xml:space="preserve">) плюс 4 активні препарати </w:t>
      </w:r>
      <w:r w:rsidR="00F0605F">
        <w:rPr>
          <w:rFonts w:ascii="Helvetica" w:hAnsi="Helvetica"/>
          <w:color w:val="000000"/>
          <w:sz w:val="18"/>
          <w:szCs w:val="18"/>
          <w:shd w:val="clear" w:color="auto" w:fill="FFFFFF"/>
          <w:lang w:val="uk-UA"/>
        </w:rPr>
        <w:t>другого ряду</w:t>
      </w:r>
      <w:r w:rsidRPr="003C1FF4">
        <w:rPr>
          <w:rFonts w:ascii="Helvetica" w:hAnsi="Helvetica"/>
          <w:color w:val="000000"/>
          <w:sz w:val="18"/>
          <w:szCs w:val="18"/>
          <w:shd w:val="clear" w:color="auto" w:fill="FFFFFF"/>
          <w:lang w:val="uk-UA"/>
        </w:rPr>
        <w:t>).</w:t>
      </w:r>
    </w:p>
    <w:p w14:paraId="76902B5E" w14:textId="77777777" w:rsidR="00E568A1" w:rsidRPr="003C1FF4" w:rsidRDefault="00E568A1" w:rsidP="009B51D9">
      <w:pPr>
        <w:autoSpaceDE w:val="0"/>
        <w:autoSpaceDN w:val="0"/>
        <w:adjustRightInd w:val="0"/>
        <w:spacing w:after="0" w:line="240" w:lineRule="auto"/>
        <w:jc w:val="both"/>
        <w:outlineLvl w:val="0"/>
        <w:rPr>
          <w:rFonts w:ascii="Arial" w:hAnsi="Arial" w:cs="Arial"/>
          <w:color w:val="000000"/>
          <w:sz w:val="18"/>
          <w:szCs w:val="18"/>
          <w:lang w:val="uk-UA"/>
        </w:rPr>
      </w:pPr>
      <w:r w:rsidRPr="00246A3F">
        <w:rPr>
          <w:rFonts w:ascii="Arial" w:hAnsi="Arial" w:cs="Arial"/>
          <w:b/>
          <w:color w:val="000000"/>
          <w:sz w:val="18"/>
          <w:szCs w:val="18"/>
          <w:lang w:val="uk-UA"/>
        </w:rPr>
        <w:t>17</w:t>
      </w:r>
      <w:r w:rsidRPr="003C1FF4">
        <w:rPr>
          <w:rFonts w:ascii="Arial" w:hAnsi="Arial" w:cs="Arial"/>
          <w:color w:val="000000"/>
          <w:sz w:val="18"/>
          <w:szCs w:val="18"/>
          <w:lang w:val="uk-UA"/>
        </w:rPr>
        <w:t xml:space="preserve"> </w:t>
      </w:r>
      <w:r w:rsidR="003C1FF4">
        <w:rPr>
          <w:rFonts w:ascii="Arial" w:hAnsi="Arial" w:cs="Arial"/>
          <w:color w:val="000000"/>
          <w:sz w:val="18"/>
          <w:szCs w:val="18"/>
          <w:lang w:val="uk-UA"/>
        </w:rPr>
        <w:t>Модель пропорційних ризиків Кокса</w:t>
      </w:r>
      <w:r w:rsidRPr="003C1FF4">
        <w:rPr>
          <w:rFonts w:ascii="Arial" w:hAnsi="Arial" w:cs="Arial"/>
          <w:color w:val="000000"/>
          <w:sz w:val="18"/>
          <w:szCs w:val="18"/>
          <w:lang w:val="uk-UA"/>
        </w:rPr>
        <w:t xml:space="preserve">: </w:t>
      </w:r>
      <w:r w:rsidRPr="003C1FF4">
        <w:rPr>
          <w:rFonts w:ascii="Arial" w:hAnsi="Arial" w:cs="Arial"/>
          <w:color w:val="000000"/>
          <w:sz w:val="18"/>
          <w:szCs w:val="18"/>
          <w:lang w:val="en-US"/>
        </w:rPr>
        <w:t>HR</w:t>
      </w:r>
      <w:r w:rsidRPr="003C1FF4">
        <w:rPr>
          <w:rFonts w:ascii="Arial" w:hAnsi="Arial" w:cs="Arial"/>
          <w:color w:val="000000"/>
          <w:sz w:val="18"/>
          <w:szCs w:val="18"/>
          <w:lang w:val="uk-UA"/>
        </w:rPr>
        <w:t xml:space="preserve"> 2.44 [95%</w:t>
      </w:r>
      <w:r w:rsidRPr="003C1FF4">
        <w:rPr>
          <w:rFonts w:ascii="Arial" w:hAnsi="Arial" w:cs="Arial"/>
          <w:color w:val="000000"/>
          <w:sz w:val="18"/>
          <w:szCs w:val="18"/>
          <w:lang w:val="en-US"/>
        </w:rPr>
        <w:t>CI</w:t>
      </w:r>
      <w:r w:rsidRPr="003C1FF4">
        <w:rPr>
          <w:rFonts w:ascii="Arial" w:hAnsi="Arial" w:cs="Arial"/>
          <w:color w:val="000000"/>
          <w:sz w:val="18"/>
          <w:szCs w:val="18"/>
          <w:lang w:val="uk-UA"/>
        </w:rPr>
        <w:t xml:space="preserve"> 1.57, 3.80] </w:t>
      </w:r>
      <w:r w:rsidRPr="003C1FF4">
        <w:rPr>
          <w:rFonts w:ascii="Arial" w:hAnsi="Arial" w:cs="Arial"/>
          <w:color w:val="000000"/>
          <w:sz w:val="18"/>
          <w:szCs w:val="18"/>
          <w:lang w:val="en-US"/>
        </w:rPr>
        <w:t>p</w:t>
      </w:r>
      <w:r w:rsidRPr="003C1FF4">
        <w:rPr>
          <w:rFonts w:ascii="Arial" w:hAnsi="Arial" w:cs="Arial"/>
          <w:color w:val="000000"/>
          <w:sz w:val="18"/>
          <w:szCs w:val="18"/>
          <w:lang w:val="uk-UA"/>
        </w:rPr>
        <w:t>&lt;0.0001 (</w:t>
      </w:r>
      <w:r w:rsidRPr="003C1FF4">
        <w:rPr>
          <w:rFonts w:ascii="Arial" w:hAnsi="Arial" w:cs="Arial"/>
          <w:color w:val="000000"/>
          <w:sz w:val="18"/>
          <w:szCs w:val="18"/>
          <w:lang w:val="en-US"/>
        </w:rPr>
        <w:t>BD</w:t>
      </w:r>
      <w:r w:rsidRPr="003C1FF4">
        <w:rPr>
          <w:rFonts w:ascii="Arial" w:hAnsi="Arial" w:cs="Arial"/>
          <w:color w:val="000000"/>
          <w:sz w:val="18"/>
          <w:szCs w:val="18"/>
          <w:lang w:val="uk-UA"/>
        </w:rPr>
        <w:t xml:space="preserve"> </w:t>
      </w:r>
      <w:r w:rsidRPr="003C1FF4">
        <w:rPr>
          <w:rFonts w:ascii="Arial" w:hAnsi="Arial" w:cs="Arial"/>
          <w:color w:val="000000"/>
          <w:sz w:val="18"/>
          <w:szCs w:val="18"/>
          <w:lang w:val="en-US"/>
        </w:rPr>
        <w:t>p</w:t>
      </w:r>
      <w:r w:rsidRPr="003C1FF4">
        <w:rPr>
          <w:rFonts w:ascii="Arial" w:hAnsi="Arial" w:cs="Arial"/>
          <w:color w:val="000000"/>
          <w:sz w:val="18"/>
          <w:szCs w:val="18"/>
          <w:lang w:val="uk-UA"/>
        </w:rPr>
        <w:t>106).</w:t>
      </w:r>
    </w:p>
    <w:p w14:paraId="12884DA7" w14:textId="77777777" w:rsidR="00E568A1" w:rsidRPr="003C1FF4" w:rsidRDefault="00E568A1" w:rsidP="009B51D9">
      <w:pPr>
        <w:autoSpaceDE w:val="0"/>
        <w:autoSpaceDN w:val="0"/>
        <w:adjustRightInd w:val="0"/>
        <w:spacing w:after="0" w:line="240" w:lineRule="auto"/>
        <w:jc w:val="both"/>
        <w:outlineLvl w:val="0"/>
        <w:rPr>
          <w:rFonts w:ascii="Arial" w:hAnsi="Arial" w:cs="Arial"/>
          <w:color w:val="000000"/>
          <w:sz w:val="18"/>
          <w:szCs w:val="18"/>
          <w:lang w:val="uk-UA"/>
        </w:rPr>
      </w:pPr>
      <w:r w:rsidRPr="00246A3F">
        <w:rPr>
          <w:rFonts w:ascii="Arial" w:hAnsi="Arial" w:cs="Arial"/>
          <w:b/>
          <w:color w:val="000000"/>
          <w:sz w:val="18"/>
          <w:szCs w:val="18"/>
          <w:lang w:val="uk-UA"/>
        </w:rPr>
        <w:t>18</w:t>
      </w:r>
      <w:r w:rsidRPr="003C1FF4">
        <w:rPr>
          <w:rFonts w:ascii="Arial" w:hAnsi="Arial" w:cs="Arial"/>
          <w:color w:val="000000"/>
          <w:sz w:val="18"/>
          <w:szCs w:val="18"/>
          <w:lang w:val="uk-UA"/>
        </w:rPr>
        <w:t xml:space="preserve">  Дивись </w:t>
      </w:r>
      <w:r w:rsidRPr="003C1FF4">
        <w:rPr>
          <w:rFonts w:ascii="Arial" w:hAnsi="Arial" w:cs="Arial"/>
          <w:color w:val="000000"/>
          <w:sz w:val="18"/>
          <w:szCs w:val="18"/>
          <w:lang w:val="en-US"/>
        </w:rPr>
        <w:t>JRd</w:t>
      </w:r>
      <w:r w:rsidRPr="003C1FF4">
        <w:rPr>
          <w:rFonts w:ascii="Arial" w:hAnsi="Arial" w:cs="Arial"/>
          <w:color w:val="000000"/>
          <w:sz w:val="18"/>
          <w:szCs w:val="18"/>
          <w:lang w:val="uk-UA"/>
        </w:rPr>
        <w:t xml:space="preserve"> слайд  </w:t>
      </w:r>
      <w:r w:rsidRPr="003C1FF4">
        <w:rPr>
          <w:rFonts w:ascii="Arial" w:hAnsi="Arial" w:cs="Arial"/>
          <w:color w:val="000000"/>
          <w:sz w:val="18"/>
          <w:szCs w:val="18"/>
          <w:lang w:val="en-US"/>
        </w:rPr>
        <w:t>EF</w:t>
      </w:r>
      <w:r w:rsidRPr="003C1FF4">
        <w:rPr>
          <w:rFonts w:ascii="Arial" w:hAnsi="Arial" w:cs="Arial"/>
          <w:color w:val="000000"/>
          <w:sz w:val="18"/>
          <w:szCs w:val="18"/>
          <w:lang w:val="uk-UA"/>
        </w:rPr>
        <w:t>-142.</w:t>
      </w:r>
    </w:p>
    <w:p w14:paraId="3470EAE5" w14:textId="77777777" w:rsidR="00E568A1" w:rsidRPr="003C1FF4" w:rsidRDefault="00E568A1" w:rsidP="00FD7630">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lang w:val="uk-UA"/>
        </w:rPr>
        <w:t>19</w:t>
      </w:r>
      <w:r w:rsidRPr="003C1FF4">
        <w:rPr>
          <w:rFonts w:ascii="Arial" w:hAnsi="Arial" w:cs="Arial"/>
          <w:color w:val="000000"/>
          <w:sz w:val="18"/>
          <w:szCs w:val="18"/>
          <w:lang w:val="uk-UA"/>
        </w:rPr>
        <w:t xml:space="preserve">  </w:t>
      </w:r>
      <w:r w:rsidRPr="003C1FF4">
        <w:rPr>
          <w:rFonts w:ascii="Arial" w:hAnsi="Arial" w:cs="Arial"/>
          <w:color w:val="000000"/>
          <w:sz w:val="18"/>
          <w:szCs w:val="18"/>
        </w:rPr>
        <w:t xml:space="preserve">Точний критерій </w:t>
      </w:r>
      <w:r w:rsidRPr="003C1FF4">
        <w:rPr>
          <w:rFonts w:ascii="Arial" w:hAnsi="Arial" w:cs="Arial"/>
          <w:color w:val="000000"/>
          <w:sz w:val="18"/>
          <w:szCs w:val="18"/>
          <w:lang w:val="uk-UA"/>
        </w:rPr>
        <w:t xml:space="preserve">по </w:t>
      </w:r>
      <w:r w:rsidRPr="003C1FF4">
        <w:rPr>
          <w:rFonts w:ascii="Arial" w:hAnsi="Arial" w:cs="Arial"/>
          <w:color w:val="000000"/>
          <w:sz w:val="18"/>
          <w:szCs w:val="18"/>
        </w:rPr>
        <w:t>Фішер</w:t>
      </w:r>
      <w:r w:rsidRPr="003C1FF4">
        <w:rPr>
          <w:rFonts w:ascii="Arial" w:hAnsi="Arial" w:cs="Arial"/>
          <w:color w:val="000000"/>
          <w:sz w:val="18"/>
          <w:szCs w:val="18"/>
          <w:lang w:val="uk-UA"/>
        </w:rPr>
        <w:t>у</w:t>
      </w:r>
      <w:r w:rsidRPr="003C1FF4">
        <w:rPr>
          <w:rFonts w:ascii="Arial" w:hAnsi="Arial" w:cs="Arial"/>
          <w:color w:val="000000"/>
          <w:sz w:val="18"/>
          <w:szCs w:val="18"/>
        </w:rPr>
        <w:t xml:space="preserve"> р = 0,01</w:t>
      </w:r>
      <w:r w:rsidRPr="003C1FF4">
        <w:rPr>
          <w:rFonts w:ascii="Arial" w:hAnsi="Arial" w:cs="Arial"/>
          <w:color w:val="000000"/>
          <w:sz w:val="18"/>
          <w:szCs w:val="18"/>
          <w:lang w:val="uk-UA"/>
        </w:rPr>
        <w:t>5</w:t>
      </w:r>
      <w:r w:rsidRPr="003C1FF4">
        <w:rPr>
          <w:rFonts w:ascii="Arial" w:hAnsi="Arial" w:cs="Arial"/>
          <w:color w:val="000000"/>
          <w:sz w:val="18"/>
          <w:szCs w:val="18"/>
        </w:rPr>
        <w:t>; по Пірсону р = 0,0</w:t>
      </w:r>
      <w:r w:rsidRPr="003C1FF4">
        <w:rPr>
          <w:rFonts w:ascii="Arial" w:hAnsi="Arial" w:cs="Arial"/>
          <w:color w:val="000000"/>
          <w:sz w:val="18"/>
          <w:szCs w:val="18"/>
          <w:lang w:val="uk-UA"/>
        </w:rPr>
        <w:t>09</w:t>
      </w:r>
      <w:r w:rsidRPr="003C1FF4">
        <w:rPr>
          <w:rFonts w:ascii="Arial" w:hAnsi="Arial" w:cs="Arial"/>
          <w:color w:val="000000"/>
          <w:sz w:val="18"/>
          <w:szCs w:val="18"/>
        </w:rPr>
        <w:t>.</w:t>
      </w:r>
    </w:p>
    <w:p w14:paraId="1B38BADD" w14:textId="77777777" w:rsidR="00E568A1" w:rsidRPr="003C1FF4" w:rsidRDefault="00E568A1" w:rsidP="00A0621E">
      <w:pPr>
        <w:autoSpaceDE w:val="0"/>
        <w:autoSpaceDN w:val="0"/>
        <w:adjustRightInd w:val="0"/>
        <w:spacing w:after="0" w:line="240" w:lineRule="auto"/>
        <w:jc w:val="both"/>
        <w:rPr>
          <w:rFonts w:ascii="Arial" w:hAnsi="Arial" w:cs="Arial"/>
          <w:color w:val="000000"/>
          <w:sz w:val="18"/>
          <w:szCs w:val="18"/>
          <w:lang w:val="uk-UA"/>
        </w:rPr>
      </w:pPr>
      <w:r w:rsidRPr="00246A3F">
        <w:rPr>
          <w:rFonts w:ascii="Arial" w:hAnsi="Arial" w:cs="Arial"/>
          <w:b/>
          <w:color w:val="000000"/>
          <w:sz w:val="18"/>
          <w:szCs w:val="18"/>
          <w:lang w:val="uk-UA"/>
        </w:rPr>
        <w:t>20</w:t>
      </w:r>
      <w:r w:rsidRPr="003C1FF4">
        <w:rPr>
          <w:rFonts w:ascii="Arial" w:hAnsi="Arial" w:cs="Arial"/>
          <w:color w:val="000000"/>
          <w:sz w:val="18"/>
          <w:szCs w:val="18"/>
          <w:lang w:val="uk-UA"/>
        </w:rPr>
        <w:t xml:space="preserve">  Аналіз парних зразків, mITT</w:t>
      </w:r>
      <w:r w:rsidR="003C1FF4">
        <w:rPr>
          <w:rFonts w:ascii="Arial" w:hAnsi="Arial" w:cs="Arial"/>
          <w:color w:val="000000"/>
          <w:sz w:val="18"/>
          <w:szCs w:val="18"/>
          <w:lang w:val="uk-UA"/>
        </w:rPr>
        <w:t xml:space="preserve"> популяція</w:t>
      </w:r>
      <w:r w:rsidRPr="003C1FF4">
        <w:rPr>
          <w:rFonts w:ascii="Arial" w:hAnsi="Arial" w:cs="Arial"/>
          <w:color w:val="000000"/>
          <w:sz w:val="18"/>
          <w:szCs w:val="18"/>
          <w:lang w:val="uk-UA"/>
        </w:rPr>
        <w:t xml:space="preserve"> (кількість = 10 у групі бедаквіліну, 27 - у групі плацебо).</w:t>
      </w:r>
    </w:p>
    <w:p w14:paraId="52E9D0E2" w14:textId="77777777" w:rsidR="00E568A1" w:rsidRPr="00713994" w:rsidRDefault="00E568A1" w:rsidP="00A0621E">
      <w:pPr>
        <w:autoSpaceDE w:val="0"/>
        <w:autoSpaceDN w:val="0"/>
        <w:adjustRightInd w:val="0"/>
        <w:spacing w:after="0" w:line="240" w:lineRule="auto"/>
        <w:jc w:val="both"/>
        <w:rPr>
          <w:rFonts w:ascii="Arial" w:hAnsi="Arial" w:cs="Arial"/>
          <w:color w:val="000000"/>
          <w:sz w:val="18"/>
          <w:szCs w:val="18"/>
          <w:lang w:val="uk-UA"/>
        </w:rPr>
      </w:pPr>
      <w:r w:rsidRPr="00246A3F">
        <w:rPr>
          <w:rFonts w:ascii="Arial" w:hAnsi="Arial" w:cs="Arial"/>
          <w:b/>
          <w:color w:val="000000"/>
          <w:sz w:val="18"/>
          <w:szCs w:val="18"/>
          <w:lang w:val="uk-UA"/>
        </w:rPr>
        <w:t xml:space="preserve">21 </w:t>
      </w:r>
      <w:r w:rsidRPr="003C1FF4">
        <w:rPr>
          <w:rFonts w:ascii="Arial" w:hAnsi="Arial" w:cs="Arial"/>
          <w:color w:val="000000"/>
          <w:sz w:val="18"/>
          <w:szCs w:val="18"/>
          <w:lang w:val="uk-UA"/>
        </w:rPr>
        <w:t xml:space="preserve"> Дивись  </w:t>
      </w:r>
      <w:r w:rsidRPr="003C1FF4">
        <w:rPr>
          <w:rFonts w:ascii="Arial" w:hAnsi="Arial" w:cs="Arial"/>
          <w:color w:val="000000"/>
          <w:sz w:val="18"/>
          <w:szCs w:val="18"/>
          <w:lang w:val="en-US"/>
        </w:rPr>
        <w:t>JRd</w:t>
      </w:r>
      <w:r w:rsidRPr="00713994">
        <w:rPr>
          <w:rFonts w:ascii="Arial" w:hAnsi="Arial" w:cs="Arial"/>
          <w:color w:val="000000"/>
          <w:sz w:val="18"/>
          <w:szCs w:val="18"/>
          <w:lang w:val="uk-UA"/>
        </w:rPr>
        <w:t xml:space="preserve"> </w:t>
      </w:r>
      <w:r w:rsidRPr="003C1FF4">
        <w:rPr>
          <w:rFonts w:ascii="Arial" w:hAnsi="Arial" w:cs="Arial"/>
          <w:color w:val="000000"/>
          <w:sz w:val="18"/>
          <w:szCs w:val="18"/>
          <w:lang w:val="uk-UA"/>
        </w:rPr>
        <w:t xml:space="preserve">слайд </w:t>
      </w:r>
      <w:r w:rsidRPr="00713994">
        <w:rPr>
          <w:rFonts w:ascii="Arial" w:hAnsi="Arial" w:cs="Arial"/>
          <w:color w:val="000000"/>
          <w:sz w:val="18"/>
          <w:szCs w:val="18"/>
          <w:lang w:val="uk-UA"/>
        </w:rPr>
        <w:t xml:space="preserve"> 52;</w:t>
      </w:r>
    </w:p>
    <w:p w14:paraId="55E752A6" w14:textId="7A37209D" w:rsidR="00347C70" w:rsidRDefault="00420EEF" w:rsidP="00A0621E">
      <w:pPr>
        <w:autoSpaceDE w:val="0"/>
        <w:autoSpaceDN w:val="0"/>
        <w:adjustRightInd w:val="0"/>
        <w:spacing w:after="0" w:line="240" w:lineRule="auto"/>
        <w:jc w:val="both"/>
        <w:rPr>
          <w:rFonts w:ascii="Arial" w:hAnsi="Arial" w:cs="Arial"/>
          <w:color w:val="000000"/>
          <w:sz w:val="18"/>
          <w:szCs w:val="18"/>
          <w:lang w:val="uk-UA"/>
        </w:rPr>
      </w:pPr>
      <w:r w:rsidRPr="00246A3F">
        <w:rPr>
          <w:rFonts w:ascii="Arial" w:hAnsi="Arial" w:cs="Arial"/>
          <w:b/>
          <w:color w:val="000000"/>
          <w:sz w:val="18"/>
          <w:szCs w:val="18"/>
          <w:lang w:val="uk-UA"/>
        </w:rPr>
        <w:t>22</w:t>
      </w:r>
      <w:r w:rsidRPr="00713994">
        <w:rPr>
          <w:rFonts w:ascii="Arial" w:hAnsi="Arial" w:cs="Arial"/>
          <w:color w:val="000000"/>
          <w:sz w:val="18"/>
          <w:szCs w:val="18"/>
          <w:lang w:val="uk-UA"/>
        </w:rPr>
        <w:t xml:space="preserve"> </w:t>
      </w:r>
      <w:r w:rsidR="00347C70">
        <w:rPr>
          <w:rFonts w:ascii="Arial" w:hAnsi="Arial" w:cs="Arial"/>
          <w:color w:val="000000"/>
          <w:sz w:val="18"/>
          <w:szCs w:val="18"/>
          <w:lang w:val="uk-UA"/>
        </w:rPr>
        <w:t>Відібране та диференціальне</w:t>
      </w:r>
      <w:r w:rsidR="00E568A1" w:rsidRPr="00015848">
        <w:rPr>
          <w:rFonts w:ascii="Arial" w:hAnsi="Arial" w:cs="Arial"/>
          <w:color w:val="000000"/>
          <w:sz w:val="18"/>
          <w:szCs w:val="18"/>
          <w:lang w:val="uk-UA"/>
        </w:rPr>
        <w:t xml:space="preserve"> </w:t>
      </w:r>
      <w:r w:rsidR="00347C70">
        <w:rPr>
          <w:rFonts w:ascii="Arial" w:hAnsi="Arial" w:cs="Arial"/>
          <w:color w:val="000000"/>
          <w:sz w:val="18"/>
          <w:szCs w:val="18"/>
          <w:lang w:val="uk-UA"/>
        </w:rPr>
        <w:t>підтвердження</w:t>
      </w:r>
      <w:r w:rsidR="00E568A1" w:rsidRPr="00015848">
        <w:rPr>
          <w:rFonts w:ascii="Arial" w:hAnsi="Arial" w:cs="Arial"/>
          <w:color w:val="000000"/>
          <w:sz w:val="18"/>
          <w:szCs w:val="18"/>
          <w:lang w:val="uk-UA"/>
        </w:rPr>
        <w:t xml:space="preserve"> набутої рез</w:t>
      </w:r>
      <w:r w:rsidR="00347C70">
        <w:rPr>
          <w:rFonts w:ascii="Arial" w:hAnsi="Arial" w:cs="Arial"/>
          <w:color w:val="000000"/>
          <w:sz w:val="18"/>
          <w:szCs w:val="18"/>
          <w:lang w:val="uk-UA"/>
        </w:rPr>
        <w:t>истентності до бедаквіліну. Була</w:t>
      </w:r>
      <w:r w:rsidR="00E568A1" w:rsidRPr="00015848">
        <w:rPr>
          <w:rFonts w:ascii="Arial" w:hAnsi="Arial" w:cs="Arial"/>
          <w:color w:val="000000"/>
          <w:sz w:val="18"/>
          <w:szCs w:val="18"/>
          <w:lang w:val="uk-UA"/>
        </w:rPr>
        <w:t xml:space="preserve"> б корисно</w:t>
      </w:r>
      <w:r w:rsidR="00347C70">
        <w:rPr>
          <w:rFonts w:ascii="Arial" w:hAnsi="Arial" w:cs="Arial"/>
          <w:color w:val="000000"/>
          <w:sz w:val="18"/>
          <w:szCs w:val="18"/>
          <w:lang w:val="uk-UA"/>
        </w:rPr>
        <w:t>ю</w:t>
      </w:r>
      <w:r w:rsidR="00E568A1" w:rsidRPr="00015848">
        <w:rPr>
          <w:rFonts w:ascii="Arial" w:hAnsi="Arial" w:cs="Arial"/>
          <w:color w:val="000000"/>
          <w:sz w:val="18"/>
          <w:szCs w:val="18"/>
          <w:lang w:val="uk-UA"/>
        </w:rPr>
        <w:t xml:space="preserve"> </w:t>
      </w:r>
      <w:r w:rsidR="00347C70">
        <w:rPr>
          <w:rFonts w:ascii="Arial" w:hAnsi="Arial" w:cs="Arial"/>
          <w:color w:val="000000"/>
          <w:sz w:val="18"/>
          <w:szCs w:val="18"/>
          <w:lang w:val="uk-UA"/>
        </w:rPr>
        <w:t>остання доступна позитивна культура</w:t>
      </w:r>
      <w:r w:rsidR="00EB4BAF">
        <w:rPr>
          <w:rFonts w:ascii="Arial" w:hAnsi="Arial" w:cs="Arial"/>
          <w:color w:val="000000"/>
          <w:sz w:val="18"/>
          <w:szCs w:val="18"/>
          <w:lang w:val="uk-UA"/>
        </w:rPr>
        <w:t xml:space="preserve"> щодо базових даних/показників </w:t>
      </w:r>
      <w:r w:rsidR="00E568A1" w:rsidRPr="00015848">
        <w:rPr>
          <w:rFonts w:ascii="Arial" w:hAnsi="Arial" w:cs="Arial"/>
          <w:color w:val="000000"/>
          <w:sz w:val="18"/>
          <w:szCs w:val="18"/>
          <w:lang w:val="uk-UA"/>
        </w:rPr>
        <w:t xml:space="preserve">всіх пацієнтів; </w:t>
      </w:r>
      <w:r w:rsidR="00EB4BAF">
        <w:rPr>
          <w:rFonts w:ascii="Arial" w:hAnsi="Arial" w:cs="Arial"/>
          <w:color w:val="000000"/>
          <w:sz w:val="18"/>
          <w:szCs w:val="18"/>
          <w:lang w:val="uk-UA"/>
        </w:rPr>
        <w:t>та</w:t>
      </w:r>
      <w:r w:rsidR="00347C70">
        <w:rPr>
          <w:rFonts w:ascii="Arial" w:hAnsi="Arial" w:cs="Arial"/>
          <w:color w:val="000000"/>
          <w:sz w:val="18"/>
          <w:szCs w:val="18"/>
          <w:lang w:val="uk-UA"/>
        </w:rPr>
        <w:t>кож необхідно встановити набуту</w:t>
      </w:r>
      <w:r w:rsidR="00347C70" w:rsidRPr="00347C70">
        <w:rPr>
          <w:rFonts w:ascii="Arial" w:hAnsi="Arial" w:cs="Arial"/>
          <w:color w:val="000000"/>
          <w:sz w:val="18"/>
          <w:szCs w:val="18"/>
          <w:lang w:val="uk-UA"/>
        </w:rPr>
        <w:t xml:space="preserve"> резистентність до бедаквіліну, </w:t>
      </w:r>
      <w:r w:rsidR="005A4266">
        <w:rPr>
          <w:rFonts w:ascii="Arial" w:hAnsi="Arial" w:cs="Arial"/>
          <w:color w:val="000000"/>
          <w:sz w:val="18"/>
          <w:szCs w:val="18"/>
          <w:lang w:val="uk-UA"/>
        </w:rPr>
        <w:t>у хворих</w:t>
      </w:r>
      <w:r w:rsidR="00347C70" w:rsidRPr="00347C70">
        <w:rPr>
          <w:rFonts w:ascii="Arial" w:hAnsi="Arial" w:cs="Arial"/>
          <w:color w:val="000000"/>
          <w:sz w:val="18"/>
          <w:szCs w:val="18"/>
          <w:lang w:val="uk-UA"/>
        </w:rPr>
        <w:t>, як</w:t>
      </w:r>
      <w:r w:rsidR="005A4266">
        <w:rPr>
          <w:rFonts w:ascii="Arial" w:hAnsi="Arial" w:cs="Arial"/>
          <w:color w:val="000000"/>
          <w:sz w:val="18"/>
          <w:szCs w:val="18"/>
          <w:lang w:val="uk-UA"/>
        </w:rPr>
        <w:t xml:space="preserve">і не відповіли </w:t>
      </w:r>
      <w:r w:rsidR="00EB4BAF">
        <w:rPr>
          <w:rFonts w:ascii="Arial" w:hAnsi="Arial" w:cs="Arial"/>
          <w:color w:val="000000"/>
          <w:sz w:val="18"/>
          <w:szCs w:val="18"/>
          <w:lang w:val="uk-UA"/>
        </w:rPr>
        <w:t xml:space="preserve">на </w:t>
      </w:r>
      <w:r w:rsidR="005A4266">
        <w:rPr>
          <w:rFonts w:ascii="Arial" w:hAnsi="Arial" w:cs="Arial"/>
          <w:color w:val="000000"/>
          <w:sz w:val="18"/>
          <w:szCs w:val="18"/>
          <w:lang w:val="uk-UA"/>
        </w:rPr>
        <w:t>лікування у групі</w:t>
      </w:r>
      <w:r w:rsidR="00EB4BAF">
        <w:rPr>
          <w:rFonts w:ascii="Arial" w:hAnsi="Arial" w:cs="Arial"/>
          <w:color w:val="000000"/>
          <w:sz w:val="18"/>
          <w:szCs w:val="18"/>
          <w:lang w:val="uk-UA"/>
        </w:rPr>
        <w:t xml:space="preserve"> бедаквіліну (використовуючи </w:t>
      </w:r>
      <w:r w:rsidR="005A4266">
        <w:rPr>
          <w:rFonts w:ascii="Arial" w:hAnsi="Arial" w:cs="Arial"/>
          <w:color w:val="000000"/>
          <w:sz w:val="18"/>
          <w:szCs w:val="18"/>
          <w:lang w:val="uk-UA"/>
        </w:rPr>
        <w:t>граничний чутливості</w:t>
      </w:r>
      <w:r w:rsidR="00347C70" w:rsidRPr="00347C70">
        <w:rPr>
          <w:rFonts w:ascii="Arial" w:hAnsi="Arial" w:cs="Arial"/>
          <w:color w:val="000000"/>
          <w:sz w:val="18"/>
          <w:szCs w:val="18"/>
          <w:lang w:val="uk-UA"/>
        </w:rPr>
        <w:t>).</w:t>
      </w:r>
    </w:p>
    <w:p w14:paraId="7A38C95A" w14:textId="0202E8D3" w:rsidR="00E568A1" w:rsidRPr="00C90EB7" w:rsidRDefault="00246A3F" w:rsidP="00015848">
      <w:pPr>
        <w:autoSpaceDE w:val="0"/>
        <w:autoSpaceDN w:val="0"/>
        <w:adjustRightInd w:val="0"/>
        <w:spacing w:after="0" w:line="240" w:lineRule="auto"/>
        <w:jc w:val="both"/>
        <w:rPr>
          <w:rFonts w:ascii="Arial" w:hAnsi="Arial" w:cs="Arial"/>
          <w:color w:val="000000"/>
          <w:sz w:val="18"/>
          <w:szCs w:val="18"/>
        </w:rPr>
      </w:pPr>
      <w:r w:rsidRPr="00246A3F">
        <w:rPr>
          <w:rFonts w:ascii="Arial" w:hAnsi="Arial" w:cs="Arial"/>
          <w:b/>
          <w:color w:val="000000"/>
          <w:sz w:val="18"/>
          <w:szCs w:val="18"/>
          <w:lang w:val="uk-UA"/>
        </w:rPr>
        <w:t>23</w:t>
      </w:r>
      <w:r>
        <w:rPr>
          <w:rFonts w:ascii="Arial" w:hAnsi="Arial" w:cs="Arial"/>
          <w:color w:val="000000"/>
          <w:sz w:val="18"/>
          <w:szCs w:val="18"/>
          <w:lang w:val="uk-UA"/>
        </w:rPr>
        <w:t xml:space="preserve"> </w:t>
      </w:r>
      <w:r w:rsidR="00E568A1">
        <w:rPr>
          <w:rFonts w:ascii="Arial" w:hAnsi="Arial" w:cs="Arial"/>
          <w:color w:val="000000"/>
          <w:sz w:val="18"/>
          <w:szCs w:val="18"/>
        </w:rPr>
        <w:t>То</w:t>
      </w:r>
      <w:r w:rsidR="00E568A1" w:rsidRPr="00C90EB7">
        <w:rPr>
          <w:rFonts w:ascii="Arial" w:hAnsi="Arial" w:cs="Arial"/>
          <w:color w:val="000000"/>
          <w:sz w:val="18"/>
          <w:szCs w:val="18"/>
        </w:rPr>
        <w:t xml:space="preserve">чний критерій </w:t>
      </w:r>
      <w:r w:rsidR="00E568A1">
        <w:rPr>
          <w:rFonts w:ascii="Arial" w:hAnsi="Arial" w:cs="Arial"/>
          <w:color w:val="000000"/>
          <w:sz w:val="18"/>
          <w:szCs w:val="18"/>
          <w:lang w:val="uk-UA"/>
        </w:rPr>
        <w:t xml:space="preserve">по </w:t>
      </w:r>
      <w:r w:rsidR="00E568A1">
        <w:rPr>
          <w:rFonts w:ascii="Arial" w:hAnsi="Arial" w:cs="Arial"/>
          <w:color w:val="000000"/>
          <w:sz w:val="18"/>
          <w:szCs w:val="18"/>
        </w:rPr>
        <w:t>Фішер</w:t>
      </w:r>
      <w:r w:rsidR="00E568A1">
        <w:rPr>
          <w:rFonts w:ascii="Arial" w:hAnsi="Arial" w:cs="Arial"/>
          <w:color w:val="000000"/>
          <w:sz w:val="18"/>
          <w:szCs w:val="18"/>
          <w:lang w:val="uk-UA"/>
        </w:rPr>
        <w:t>у</w:t>
      </w:r>
      <w:r w:rsidR="00E568A1">
        <w:rPr>
          <w:rFonts w:ascii="Arial" w:hAnsi="Arial" w:cs="Arial"/>
          <w:color w:val="000000"/>
          <w:sz w:val="18"/>
          <w:szCs w:val="18"/>
        </w:rPr>
        <w:t xml:space="preserve"> р = 0,01</w:t>
      </w:r>
      <w:r w:rsidR="00E568A1">
        <w:rPr>
          <w:rFonts w:ascii="Arial" w:hAnsi="Arial" w:cs="Arial"/>
          <w:color w:val="000000"/>
          <w:sz w:val="18"/>
          <w:szCs w:val="18"/>
          <w:lang w:val="uk-UA"/>
        </w:rPr>
        <w:t>4</w:t>
      </w:r>
      <w:r w:rsidR="00E568A1" w:rsidRPr="00C90EB7">
        <w:rPr>
          <w:rFonts w:ascii="Arial" w:hAnsi="Arial" w:cs="Arial"/>
          <w:color w:val="000000"/>
          <w:sz w:val="18"/>
          <w:szCs w:val="18"/>
        </w:rPr>
        <w:t>; по Пірсону р</w:t>
      </w:r>
      <w:r w:rsidR="00E568A1">
        <w:rPr>
          <w:rFonts w:ascii="Arial" w:hAnsi="Arial" w:cs="Arial"/>
          <w:color w:val="000000"/>
          <w:sz w:val="18"/>
          <w:szCs w:val="18"/>
        </w:rPr>
        <w:t xml:space="preserve"> = 0,0</w:t>
      </w:r>
      <w:r w:rsidR="00E568A1">
        <w:rPr>
          <w:rFonts w:ascii="Arial" w:hAnsi="Arial" w:cs="Arial"/>
          <w:color w:val="000000"/>
          <w:sz w:val="18"/>
          <w:szCs w:val="18"/>
          <w:lang w:val="uk-UA"/>
        </w:rPr>
        <w:t>8</w:t>
      </w:r>
      <w:r w:rsidR="00E568A1" w:rsidRPr="00C90EB7">
        <w:rPr>
          <w:rFonts w:ascii="Arial" w:hAnsi="Arial" w:cs="Arial"/>
          <w:color w:val="000000"/>
          <w:sz w:val="18"/>
          <w:szCs w:val="18"/>
        </w:rPr>
        <w:t>.</w:t>
      </w:r>
    </w:p>
    <w:p w14:paraId="39908490" w14:textId="12C8A56F" w:rsidR="00E568A1" w:rsidRPr="006769A7" w:rsidRDefault="00E568A1" w:rsidP="00A0621E">
      <w:pPr>
        <w:autoSpaceDE w:val="0"/>
        <w:autoSpaceDN w:val="0"/>
        <w:adjustRightInd w:val="0"/>
        <w:spacing w:after="0" w:line="240" w:lineRule="auto"/>
        <w:jc w:val="both"/>
        <w:rPr>
          <w:rFonts w:ascii="Arial" w:hAnsi="Arial" w:cs="Arial"/>
          <w:color w:val="000000"/>
          <w:sz w:val="18"/>
          <w:szCs w:val="18"/>
          <w:lang w:val="uk-UA"/>
        </w:rPr>
      </w:pPr>
      <w:r w:rsidRPr="00246A3F">
        <w:rPr>
          <w:rFonts w:ascii="Arial" w:hAnsi="Arial" w:cs="Arial"/>
          <w:b/>
          <w:color w:val="000000"/>
          <w:sz w:val="18"/>
          <w:szCs w:val="18"/>
          <w:lang w:val="uk-UA"/>
        </w:rPr>
        <w:t>24</w:t>
      </w:r>
      <w:r w:rsidRPr="006769A7">
        <w:rPr>
          <w:rFonts w:ascii="Arial" w:hAnsi="Arial" w:cs="Arial"/>
          <w:color w:val="000000"/>
          <w:sz w:val="18"/>
          <w:szCs w:val="18"/>
          <w:lang w:val="uk-UA"/>
        </w:rPr>
        <w:t xml:space="preserve"> Група експертів припустила,</w:t>
      </w:r>
      <w:r w:rsidR="005A4266">
        <w:rPr>
          <w:rFonts w:ascii="Arial" w:hAnsi="Arial" w:cs="Arial"/>
          <w:color w:val="000000"/>
          <w:sz w:val="18"/>
          <w:szCs w:val="18"/>
          <w:lang w:val="uk-UA"/>
        </w:rPr>
        <w:t xml:space="preserve"> що справжній базовий показник ризику </w:t>
      </w:r>
      <w:r w:rsidRPr="006769A7">
        <w:rPr>
          <w:rFonts w:ascii="Arial" w:hAnsi="Arial" w:cs="Arial"/>
          <w:color w:val="000000"/>
          <w:sz w:val="18"/>
          <w:szCs w:val="18"/>
          <w:lang w:val="uk-UA"/>
        </w:rPr>
        <w:t>розвитку стійк</w:t>
      </w:r>
      <w:r w:rsidR="005A4266">
        <w:rPr>
          <w:rFonts w:ascii="Arial" w:hAnsi="Arial" w:cs="Arial"/>
          <w:color w:val="000000"/>
          <w:sz w:val="18"/>
          <w:szCs w:val="18"/>
          <w:lang w:val="uk-UA"/>
        </w:rPr>
        <w:t xml:space="preserve">ості буде суттєво нижчим, </w:t>
      </w:r>
      <w:r w:rsidRPr="006769A7">
        <w:rPr>
          <w:rFonts w:ascii="Arial" w:hAnsi="Arial" w:cs="Arial"/>
          <w:color w:val="000000"/>
          <w:sz w:val="18"/>
          <w:szCs w:val="18"/>
          <w:lang w:val="uk-UA"/>
        </w:rPr>
        <w:t>приблизно на 25%, якщо б усі зраз</w:t>
      </w:r>
      <w:r w:rsidR="005A4266">
        <w:rPr>
          <w:rFonts w:ascii="Arial" w:hAnsi="Arial" w:cs="Arial"/>
          <w:color w:val="000000"/>
          <w:sz w:val="18"/>
          <w:szCs w:val="18"/>
          <w:lang w:val="uk-UA"/>
        </w:rPr>
        <w:t>ки були протестовані на останньому позитивному зраз</w:t>
      </w:r>
      <w:r w:rsidRPr="006769A7">
        <w:rPr>
          <w:rFonts w:ascii="Arial" w:hAnsi="Arial" w:cs="Arial"/>
          <w:color w:val="000000"/>
          <w:sz w:val="18"/>
          <w:szCs w:val="18"/>
          <w:lang w:val="uk-UA"/>
        </w:rPr>
        <w:t>к</w:t>
      </w:r>
      <w:r w:rsidR="005A4266">
        <w:rPr>
          <w:rFonts w:ascii="Arial" w:hAnsi="Arial" w:cs="Arial"/>
          <w:color w:val="000000"/>
          <w:sz w:val="18"/>
          <w:szCs w:val="18"/>
          <w:lang w:val="uk-UA"/>
        </w:rPr>
        <w:t>у</w:t>
      </w:r>
      <w:r w:rsidRPr="006769A7">
        <w:rPr>
          <w:rFonts w:ascii="Arial" w:hAnsi="Arial" w:cs="Arial"/>
          <w:color w:val="000000"/>
          <w:sz w:val="18"/>
          <w:szCs w:val="18"/>
          <w:lang w:val="uk-UA"/>
        </w:rPr>
        <w:t>.</w:t>
      </w:r>
    </w:p>
    <w:p w14:paraId="783A6DFD" w14:textId="77777777" w:rsidR="00E568A1" w:rsidRDefault="00E568A1" w:rsidP="0037724F">
      <w:pPr>
        <w:autoSpaceDE w:val="0"/>
        <w:autoSpaceDN w:val="0"/>
        <w:adjustRightInd w:val="0"/>
        <w:spacing w:after="0" w:line="240" w:lineRule="auto"/>
        <w:jc w:val="both"/>
        <w:rPr>
          <w:rFonts w:ascii="Arial" w:hAnsi="Arial" w:cs="Arial"/>
          <w:b/>
          <w:bCs/>
          <w:color w:val="000000"/>
          <w:sz w:val="18"/>
          <w:szCs w:val="18"/>
          <w:lang w:val="uk-UA"/>
        </w:rPr>
      </w:pPr>
    </w:p>
    <w:p w14:paraId="749A6F67" w14:textId="77777777" w:rsidR="00E568A1" w:rsidRDefault="00E568A1" w:rsidP="0037724F">
      <w:pPr>
        <w:autoSpaceDE w:val="0"/>
        <w:autoSpaceDN w:val="0"/>
        <w:adjustRightInd w:val="0"/>
        <w:spacing w:after="0" w:line="240" w:lineRule="auto"/>
        <w:jc w:val="both"/>
        <w:rPr>
          <w:rFonts w:ascii="Arial" w:hAnsi="Arial" w:cs="Arial"/>
          <w:b/>
          <w:bCs/>
          <w:color w:val="000000"/>
          <w:sz w:val="18"/>
          <w:szCs w:val="18"/>
          <w:lang w:val="uk-UA"/>
        </w:rPr>
      </w:pPr>
    </w:p>
    <w:p w14:paraId="63B0C338" w14:textId="77777777" w:rsidR="00E568A1" w:rsidRPr="006769A7" w:rsidRDefault="00E568A1" w:rsidP="0037724F">
      <w:pPr>
        <w:autoSpaceDE w:val="0"/>
        <w:autoSpaceDN w:val="0"/>
        <w:adjustRightInd w:val="0"/>
        <w:spacing w:after="0" w:line="240" w:lineRule="auto"/>
        <w:jc w:val="both"/>
        <w:rPr>
          <w:rFonts w:ascii="Arial" w:hAnsi="Arial" w:cs="Arial"/>
          <w:b/>
          <w:bCs/>
          <w:color w:val="000000"/>
          <w:sz w:val="18"/>
          <w:szCs w:val="18"/>
          <w:lang w:val="uk-UA"/>
        </w:rPr>
        <w:sectPr w:rsidR="00E568A1" w:rsidRPr="006769A7" w:rsidSect="007C46E5">
          <w:pgSz w:w="16838" w:h="11906" w:orient="landscape"/>
          <w:pgMar w:top="851" w:right="820" w:bottom="851" w:left="1134" w:header="709" w:footer="709" w:gutter="0"/>
          <w:cols w:space="708"/>
          <w:docGrid w:linePitch="360"/>
        </w:sectPr>
      </w:pPr>
    </w:p>
    <w:p w14:paraId="638FFDF8" w14:textId="217FFD80" w:rsidR="00E568A1" w:rsidRDefault="00542DAB" w:rsidP="00542DAB">
      <w:pPr>
        <w:autoSpaceDE w:val="0"/>
        <w:autoSpaceDN w:val="0"/>
        <w:adjustRightInd w:val="0"/>
        <w:spacing w:after="0" w:line="240" w:lineRule="auto"/>
        <w:jc w:val="both"/>
        <w:outlineLvl w:val="0"/>
        <w:rPr>
          <w:lang w:val="uk-UA"/>
        </w:rPr>
      </w:pPr>
      <w:r>
        <w:rPr>
          <w:noProof/>
          <w:lang w:eastAsia="ru-RU"/>
        </w:rPr>
        <w:lastRenderedPageBreak/>
        <w:drawing>
          <wp:inline distT="0" distB="0" distL="0" distR="0" wp14:anchorId="75BBBC81" wp14:editId="212B9F03">
            <wp:extent cx="9240520" cy="5654675"/>
            <wp:effectExtent l="0" t="0" r="5080" b="9525"/>
            <wp:docPr id="74" name="Изображение 74" descr="../../../Снимок%20экрана%202018-10-02%20в%2013.0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10-02%20в%2013.02.2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40520" cy="5654675"/>
                    </a:xfrm>
                    <a:prstGeom prst="rect">
                      <a:avLst/>
                    </a:prstGeom>
                    <a:noFill/>
                    <a:ln>
                      <a:noFill/>
                    </a:ln>
                  </pic:spPr>
                </pic:pic>
              </a:graphicData>
            </a:graphic>
          </wp:inline>
        </w:drawing>
      </w:r>
    </w:p>
    <w:p w14:paraId="3D9EEEF0" w14:textId="44719D32" w:rsidR="00542DAB" w:rsidRDefault="00542DAB" w:rsidP="00542DAB">
      <w:pPr>
        <w:autoSpaceDE w:val="0"/>
        <w:autoSpaceDN w:val="0"/>
        <w:adjustRightInd w:val="0"/>
        <w:spacing w:after="0" w:line="240" w:lineRule="auto"/>
        <w:jc w:val="both"/>
        <w:outlineLvl w:val="0"/>
        <w:rPr>
          <w:lang w:val="uk-UA"/>
        </w:rPr>
      </w:pPr>
      <w:r>
        <w:rPr>
          <w:noProof/>
          <w:lang w:eastAsia="ru-RU"/>
        </w:rPr>
        <w:lastRenderedPageBreak/>
        <w:drawing>
          <wp:inline distT="0" distB="0" distL="0" distR="0" wp14:anchorId="14AFBE1B" wp14:editId="454A0A15">
            <wp:extent cx="9240520" cy="5687060"/>
            <wp:effectExtent l="0" t="0" r="5080" b="2540"/>
            <wp:docPr id="75" name="Изображение 75" descr="../../../Снимок%20экрана%202018-10-02%20в%2013.0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18-10-02%20в%2013.04.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0520" cy="5687060"/>
                    </a:xfrm>
                    <a:prstGeom prst="rect">
                      <a:avLst/>
                    </a:prstGeom>
                    <a:noFill/>
                    <a:ln>
                      <a:noFill/>
                    </a:ln>
                  </pic:spPr>
                </pic:pic>
              </a:graphicData>
            </a:graphic>
          </wp:inline>
        </w:drawing>
      </w:r>
    </w:p>
    <w:p w14:paraId="55A871A3" w14:textId="15313D31" w:rsidR="00542DAB" w:rsidRDefault="00542DAB" w:rsidP="00542DAB">
      <w:pPr>
        <w:autoSpaceDE w:val="0"/>
        <w:autoSpaceDN w:val="0"/>
        <w:adjustRightInd w:val="0"/>
        <w:spacing w:after="0" w:line="240" w:lineRule="auto"/>
        <w:jc w:val="both"/>
        <w:outlineLvl w:val="0"/>
        <w:rPr>
          <w:lang w:val="uk-UA"/>
        </w:rPr>
      </w:pPr>
      <w:r>
        <w:rPr>
          <w:noProof/>
          <w:lang w:eastAsia="ru-RU"/>
        </w:rPr>
        <w:lastRenderedPageBreak/>
        <w:drawing>
          <wp:inline distT="0" distB="0" distL="0" distR="0" wp14:anchorId="1D642072" wp14:editId="3C9E04F7">
            <wp:extent cx="9248140" cy="4956810"/>
            <wp:effectExtent l="0" t="0" r="0" b="0"/>
            <wp:docPr id="80" name="Изображение 80" descr="../../../Снимок%20экрана%202018-10-02%20в%2013.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8-10-02%20в%2013.07.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8140" cy="4956810"/>
                    </a:xfrm>
                    <a:prstGeom prst="rect">
                      <a:avLst/>
                    </a:prstGeom>
                    <a:noFill/>
                    <a:ln>
                      <a:noFill/>
                    </a:ln>
                  </pic:spPr>
                </pic:pic>
              </a:graphicData>
            </a:graphic>
          </wp:inline>
        </w:drawing>
      </w:r>
    </w:p>
    <w:p w14:paraId="1D0542E4" w14:textId="77777777" w:rsidR="00542DAB" w:rsidRDefault="00542DAB" w:rsidP="00542DAB">
      <w:pPr>
        <w:autoSpaceDE w:val="0"/>
        <w:autoSpaceDN w:val="0"/>
        <w:adjustRightInd w:val="0"/>
        <w:spacing w:after="0" w:line="240" w:lineRule="auto"/>
        <w:jc w:val="both"/>
        <w:outlineLvl w:val="0"/>
        <w:rPr>
          <w:lang w:val="uk-UA"/>
        </w:rPr>
      </w:pPr>
    </w:p>
    <w:p w14:paraId="4A809A9E" w14:textId="77777777" w:rsidR="00542DAB" w:rsidRDefault="00542DAB" w:rsidP="00542DAB">
      <w:pPr>
        <w:autoSpaceDE w:val="0"/>
        <w:autoSpaceDN w:val="0"/>
        <w:adjustRightInd w:val="0"/>
        <w:spacing w:after="0" w:line="240" w:lineRule="auto"/>
        <w:jc w:val="both"/>
        <w:outlineLvl w:val="0"/>
        <w:rPr>
          <w:lang w:val="uk-UA"/>
        </w:rPr>
      </w:pPr>
    </w:p>
    <w:p w14:paraId="42B8757E" w14:textId="019ECFC5" w:rsidR="00542DAB" w:rsidRDefault="00542DAB" w:rsidP="00542DAB">
      <w:pPr>
        <w:autoSpaceDE w:val="0"/>
        <w:autoSpaceDN w:val="0"/>
        <w:adjustRightInd w:val="0"/>
        <w:spacing w:after="0" w:line="240" w:lineRule="auto"/>
        <w:jc w:val="both"/>
        <w:outlineLvl w:val="0"/>
        <w:rPr>
          <w:lang w:val="uk-UA"/>
        </w:rPr>
      </w:pPr>
      <w:r>
        <w:rPr>
          <w:noProof/>
          <w:lang w:eastAsia="ru-RU"/>
        </w:rPr>
        <w:lastRenderedPageBreak/>
        <w:drawing>
          <wp:inline distT="0" distB="0" distL="0" distR="0" wp14:anchorId="05F0183D" wp14:editId="516A99E5">
            <wp:extent cx="9240520" cy="4066540"/>
            <wp:effectExtent l="0" t="0" r="5080" b="0"/>
            <wp:docPr id="81" name="Изображение 81" descr="../../../Снимок%20экрана%202018-10-02%20в%2013.0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20экрана%202018-10-02%20в%2013.08.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40520" cy="4066540"/>
                    </a:xfrm>
                    <a:prstGeom prst="rect">
                      <a:avLst/>
                    </a:prstGeom>
                    <a:noFill/>
                    <a:ln>
                      <a:noFill/>
                    </a:ln>
                  </pic:spPr>
                </pic:pic>
              </a:graphicData>
            </a:graphic>
          </wp:inline>
        </w:drawing>
      </w:r>
    </w:p>
    <w:p w14:paraId="6090AF9F" w14:textId="77777777" w:rsidR="00542DAB" w:rsidRDefault="00542DAB" w:rsidP="00542DAB">
      <w:pPr>
        <w:ind w:firstLine="708"/>
        <w:rPr>
          <w:lang w:val="uk-UA"/>
        </w:rPr>
      </w:pPr>
    </w:p>
    <w:p w14:paraId="4334DDF4" w14:textId="77777777" w:rsidR="00344DBF" w:rsidRDefault="00344DBF" w:rsidP="00542DAB">
      <w:pPr>
        <w:ind w:firstLine="708"/>
        <w:rPr>
          <w:lang w:val="uk-UA"/>
        </w:rPr>
      </w:pPr>
    </w:p>
    <w:p w14:paraId="5E33A76A" w14:textId="77777777" w:rsidR="00344DBF" w:rsidRDefault="00344DBF" w:rsidP="00542DAB">
      <w:pPr>
        <w:ind w:firstLine="708"/>
        <w:rPr>
          <w:lang w:val="uk-UA"/>
        </w:rPr>
      </w:pPr>
    </w:p>
    <w:p w14:paraId="41CE516F" w14:textId="77777777" w:rsidR="00CD50AD" w:rsidRDefault="00CD50AD" w:rsidP="00344DBF">
      <w:pPr>
        <w:rPr>
          <w:rFonts w:ascii="Times New Roman" w:eastAsia="Arial" w:hAnsi="Times New Roman"/>
          <w:b/>
          <w:bCs/>
          <w:color w:val="9F000B"/>
          <w:sz w:val="48"/>
          <w:szCs w:val="48"/>
        </w:rPr>
      </w:pPr>
    </w:p>
    <w:p w14:paraId="2316D935" w14:textId="77777777" w:rsidR="00CD50AD" w:rsidRDefault="00CD50AD" w:rsidP="00344DBF">
      <w:pPr>
        <w:rPr>
          <w:rFonts w:ascii="Times New Roman" w:eastAsia="Arial" w:hAnsi="Times New Roman"/>
          <w:b/>
          <w:bCs/>
          <w:color w:val="9F000B"/>
          <w:sz w:val="48"/>
          <w:szCs w:val="48"/>
        </w:rPr>
      </w:pPr>
    </w:p>
    <w:p w14:paraId="3B543DCF" w14:textId="77777777" w:rsidR="00344DBF" w:rsidRPr="00344DBF" w:rsidRDefault="00344DBF" w:rsidP="00344DBF">
      <w:pPr>
        <w:rPr>
          <w:rFonts w:ascii="Times New Roman" w:hAnsi="Times New Roman"/>
          <w:sz w:val="20"/>
          <w:szCs w:val="20"/>
        </w:rPr>
      </w:pPr>
      <w:r w:rsidRPr="00344DBF">
        <w:rPr>
          <w:rFonts w:ascii="Times New Roman" w:eastAsia="Arial" w:hAnsi="Times New Roman"/>
          <w:b/>
          <w:bCs/>
          <w:color w:val="9F000B"/>
          <w:sz w:val="48"/>
          <w:szCs w:val="48"/>
        </w:rPr>
        <w:lastRenderedPageBreak/>
        <w:t>Додатки</w:t>
      </w:r>
    </w:p>
    <w:p w14:paraId="29D41048" w14:textId="77777777" w:rsidR="00344DBF" w:rsidRPr="00344DBF" w:rsidRDefault="00344DBF" w:rsidP="00344DBF">
      <w:pPr>
        <w:spacing w:line="200" w:lineRule="exact"/>
        <w:rPr>
          <w:rFonts w:ascii="Times New Roman" w:hAnsi="Times New Roman"/>
          <w:sz w:val="20"/>
          <w:szCs w:val="20"/>
        </w:rPr>
      </w:pPr>
    </w:p>
    <w:p w14:paraId="47816B14" w14:textId="77777777" w:rsidR="00344DBF" w:rsidRPr="00344DBF" w:rsidRDefault="00344DBF" w:rsidP="00344DBF">
      <w:pPr>
        <w:spacing w:line="200" w:lineRule="exact"/>
        <w:rPr>
          <w:rFonts w:ascii="Times New Roman" w:hAnsi="Times New Roman"/>
          <w:sz w:val="20"/>
          <w:szCs w:val="20"/>
        </w:rPr>
      </w:pPr>
    </w:p>
    <w:p w14:paraId="4AF5BEB3" w14:textId="77777777" w:rsidR="00344DBF" w:rsidRPr="00344DBF" w:rsidRDefault="00344DBF" w:rsidP="00344DBF">
      <w:pPr>
        <w:spacing w:line="200" w:lineRule="exact"/>
        <w:rPr>
          <w:rFonts w:ascii="Times New Roman" w:hAnsi="Times New Roman"/>
          <w:sz w:val="20"/>
          <w:szCs w:val="20"/>
        </w:rPr>
      </w:pPr>
    </w:p>
    <w:p w14:paraId="50A1AA19" w14:textId="77777777" w:rsidR="00344DBF" w:rsidRPr="00344DBF" w:rsidRDefault="00344DBF" w:rsidP="00344DBF">
      <w:pPr>
        <w:spacing w:line="281" w:lineRule="exact"/>
        <w:rPr>
          <w:rFonts w:ascii="Times New Roman" w:hAnsi="Times New Roman"/>
          <w:sz w:val="20"/>
          <w:szCs w:val="20"/>
        </w:rPr>
      </w:pPr>
    </w:p>
    <w:p w14:paraId="65076F73"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1: Члени координаційної групи ВООЗ з розробки рекомендацій</w:t>
      </w:r>
    </w:p>
    <w:p w14:paraId="694B7DF8" w14:textId="77777777" w:rsidR="00344DBF" w:rsidRPr="00344DBF" w:rsidRDefault="00344DBF" w:rsidP="00344DBF">
      <w:pPr>
        <w:spacing w:line="240" w:lineRule="exact"/>
        <w:rPr>
          <w:rFonts w:ascii="Times New Roman" w:hAnsi="Times New Roman"/>
          <w:sz w:val="20"/>
          <w:szCs w:val="20"/>
        </w:rPr>
      </w:pPr>
    </w:p>
    <w:p w14:paraId="102C8237"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2: Члени Експертної групи</w:t>
      </w:r>
    </w:p>
    <w:p w14:paraId="168C39C5" w14:textId="77777777" w:rsidR="00344DBF" w:rsidRPr="00344DBF" w:rsidRDefault="00344DBF" w:rsidP="00344DBF">
      <w:pPr>
        <w:spacing w:line="240" w:lineRule="exact"/>
        <w:rPr>
          <w:rFonts w:ascii="Times New Roman" w:hAnsi="Times New Roman"/>
          <w:sz w:val="20"/>
          <w:szCs w:val="20"/>
        </w:rPr>
      </w:pPr>
    </w:p>
    <w:p w14:paraId="1C91007A"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3: Мета та порядок зібрання Експертної групи</w:t>
      </w:r>
    </w:p>
    <w:p w14:paraId="01CC0DDC" w14:textId="77777777" w:rsidR="00344DBF" w:rsidRPr="00344DBF" w:rsidRDefault="00344DBF" w:rsidP="00344DBF">
      <w:pPr>
        <w:spacing w:line="240" w:lineRule="exact"/>
        <w:rPr>
          <w:rFonts w:ascii="Times New Roman" w:hAnsi="Times New Roman"/>
          <w:sz w:val="20"/>
          <w:szCs w:val="20"/>
        </w:rPr>
      </w:pPr>
    </w:p>
    <w:p w14:paraId="0C3C539E"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4: Декларація про економічні інтереси</w:t>
      </w:r>
    </w:p>
    <w:p w14:paraId="01608BB4" w14:textId="77777777" w:rsidR="00344DBF" w:rsidRPr="00344DBF" w:rsidRDefault="00344DBF" w:rsidP="00344DBF">
      <w:pPr>
        <w:spacing w:line="240" w:lineRule="exact"/>
        <w:rPr>
          <w:rFonts w:ascii="Times New Roman" w:hAnsi="Times New Roman"/>
          <w:sz w:val="20"/>
          <w:szCs w:val="20"/>
        </w:rPr>
      </w:pPr>
    </w:p>
    <w:p w14:paraId="6FDC1E71"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5: Глосарій термінів GRADE</w:t>
      </w:r>
    </w:p>
    <w:p w14:paraId="6A88D07C" w14:textId="77777777" w:rsidR="00344DBF" w:rsidRPr="00344DBF" w:rsidRDefault="00344DBF" w:rsidP="00344DBF">
      <w:pPr>
        <w:spacing w:line="240" w:lineRule="exact"/>
        <w:rPr>
          <w:rFonts w:ascii="Times New Roman" w:hAnsi="Times New Roman"/>
          <w:sz w:val="20"/>
          <w:szCs w:val="20"/>
        </w:rPr>
      </w:pPr>
    </w:p>
    <w:p w14:paraId="1DB31810" w14:textId="77777777" w:rsidR="00344DBF" w:rsidRPr="00344DBF" w:rsidRDefault="00344DBF" w:rsidP="00344DBF">
      <w:pPr>
        <w:ind w:left="260"/>
        <w:rPr>
          <w:rFonts w:ascii="Times New Roman" w:hAnsi="Times New Roman"/>
          <w:sz w:val="20"/>
          <w:szCs w:val="20"/>
        </w:rPr>
      </w:pPr>
      <w:r w:rsidRPr="00344DBF">
        <w:rPr>
          <w:rFonts w:ascii="Times New Roman" w:hAnsi="Times New Roman"/>
          <w:color w:val="9F000B"/>
          <w:sz w:val="26"/>
          <w:szCs w:val="26"/>
        </w:rPr>
        <w:t>Додаток 6:Члени незалежної перевірочної комісії</w:t>
      </w:r>
    </w:p>
    <w:p w14:paraId="7AAEF0AE" w14:textId="77777777" w:rsidR="00344DBF" w:rsidRDefault="00344DBF" w:rsidP="00344DBF">
      <w:pPr>
        <w:spacing w:line="200" w:lineRule="exact"/>
        <w:rPr>
          <w:sz w:val="20"/>
          <w:szCs w:val="20"/>
        </w:rPr>
      </w:pPr>
    </w:p>
    <w:p w14:paraId="105CA1E2" w14:textId="77777777" w:rsidR="00344DBF" w:rsidRDefault="00344DBF" w:rsidP="00344DBF">
      <w:pPr>
        <w:jc w:val="right"/>
        <w:rPr>
          <w:sz w:val="20"/>
          <w:szCs w:val="20"/>
        </w:rPr>
      </w:pPr>
      <w:r>
        <w:rPr>
          <w:rFonts w:ascii="Arial" w:eastAsia="Arial" w:hAnsi="Arial" w:cs="Arial"/>
          <w:color w:val="FFFFFF"/>
          <w:sz w:val="24"/>
          <w:szCs w:val="24"/>
        </w:rPr>
        <w:t>41</w:t>
      </w:r>
    </w:p>
    <w:p w14:paraId="4CBB15EB" w14:textId="77777777" w:rsidR="00344DBF" w:rsidRDefault="00344DBF" w:rsidP="00344DBF">
      <w:pPr>
        <w:sectPr w:rsidR="00344DBF" w:rsidSect="00CD50AD">
          <w:pgSz w:w="16840" w:h="11900" w:orient="landscape"/>
          <w:pgMar w:top="1440" w:right="1440" w:bottom="424" w:left="1440" w:header="0" w:footer="0" w:gutter="0"/>
          <w:cols w:space="720" w:equalWidth="0">
            <w:col w:w="11056"/>
          </w:cols>
          <w:docGrid w:linePitch="299"/>
        </w:sectPr>
      </w:pPr>
    </w:p>
    <w:p w14:paraId="4044C8C4" w14:textId="77777777" w:rsidR="00344DBF" w:rsidRDefault="00344DBF" w:rsidP="00344DBF">
      <w:pPr>
        <w:spacing w:line="200" w:lineRule="exact"/>
        <w:rPr>
          <w:sz w:val="20"/>
          <w:szCs w:val="20"/>
        </w:rPr>
      </w:pPr>
      <w:bookmarkStart w:id="0" w:name="page46"/>
      <w:bookmarkEnd w:id="0"/>
      <w:r>
        <w:rPr>
          <w:noProof/>
          <w:sz w:val="20"/>
          <w:szCs w:val="20"/>
        </w:rPr>
        <w:lastRenderedPageBreak/>
        <w:drawing>
          <wp:anchor distT="0" distB="0" distL="114300" distR="114300" simplePos="0" relativeHeight="251687936" behindDoc="1" locked="0" layoutInCell="0" allowOverlap="1" wp14:anchorId="5405C51B" wp14:editId="7C678661">
            <wp:simplePos x="0" y="0"/>
            <wp:positionH relativeFrom="page">
              <wp:posOffset>135255</wp:posOffset>
            </wp:positionH>
            <wp:positionV relativeFrom="page">
              <wp:posOffset>0</wp:posOffset>
            </wp:positionV>
            <wp:extent cx="1734185" cy="122428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1734185" cy="1224280"/>
                    </a:xfrm>
                    <a:prstGeom prst="rect">
                      <a:avLst/>
                    </a:prstGeom>
                    <a:noFill/>
                  </pic:spPr>
                </pic:pic>
              </a:graphicData>
            </a:graphic>
          </wp:anchor>
        </w:drawing>
      </w:r>
    </w:p>
    <w:p w14:paraId="29D6CC5D" w14:textId="77777777" w:rsidR="00344DBF" w:rsidRDefault="00344DBF" w:rsidP="00344DBF">
      <w:pPr>
        <w:spacing w:line="200" w:lineRule="exact"/>
        <w:rPr>
          <w:sz w:val="20"/>
          <w:szCs w:val="20"/>
        </w:rPr>
      </w:pPr>
    </w:p>
    <w:p w14:paraId="306AD85D" w14:textId="77777777" w:rsidR="00344DBF" w:rsidRDefault="00344DBF" w:rsidP="00344DBF">
      <w:pPr>
        <w:spacing w:line="355" w:lineRule="exact"/>
        <w:rPr>
          <w:sz w:val="20"/>
          <w:szCs w:val="20"/>
        </w:rPr>
      </w:pPr>
    </w:p>
    <w:p w14:paraId="0DFB33B1" w14:textId="77777777" w:rsidR="00344DBF" w:rsidRPr="00344DBF" w:rsidRDefault="00344DBF" w:rsidP="00344DBF">
      <w:pPr>
        <w:ind w:left="1540"/>
        <w:contextualSpacing/>
        <w:rPr>
          <w:rFonts w:ascii="Times New Roman" w:hAnsi="Times New Roman"/>
          <w:sz w:val="20"/>
          <w:szCs w:val="20"/>
        </w:rPr>
      </w:pPr>
      <w:r w:rsidRPr="00344DBF">
        <w:rPr>
          <w:rFonts w:ascii="Times New Roman" w:eastAsia="Arial" w:hAnsi="Times New Roman"/>
          <w:b/>
          <w:bCs/>
          <w:color w:val="9F000B"/>
          <w:sz w:val="48"/>
          <w:szCs w:val="48"/>
        </w:rPr>
        <w:t>Додаток 1</w:t>
      </w:r>
    </w:p>
    <w:p w14:paraId="78FAC0D9" w14:textId="77777777" w:rsidR="00344DBF" w:rsidRPr="00344DBF" w:rsidRDefault="00344DBF" w:rsidP="00344DBF">
      <w:pPr>
        <w:spacing w:line="200" w:lineRule="exact"/>
        <w:contextualSpacing/>
        <w:rPr>
          <w:rFonts w:ascii="Times New Roman" w:hAnsi="Times New Roman"/>
          <w:sz w:val="20"/>
          <w:szCs w:val="20"/>
        </w:rPr>
      </w:pPr>
    </w:p>
    <w:p w14:paraId="46C543D6" w14:textId="77777777" w:rsidR="00344DBF" w:rsidRPr="00344DBF" w:rsidRDefault="00344DBF" w:rsidP="00344DBF">
      <w:pPr>
        <w:spacing w:line="200" w:lineRule="exact"/>
        <w:contextualSpacing/>
        <w:rPr>
          <w:rFonts w:ascii="Times New Roman" w:hAnsi="Times New Roman"/>
          <w:sz w:val="20"/>
          <w:szCs w:val="20"/>
        </w:rPr>
      </w:pPr>
    </w:p>
    <w:p w14:paraId="18C83E17" w14:textId="77777777" w:rsidR="00344DBF" w:rsidRPr="00344DBF" w:rsidRDefault="00344DBF" w:rsidP="00344DBF">
      <w:pPr>
        <w:spacing w:line="397" w:lineRule="exact"/>
        <w:contextualSpacing/>
        <w:rPr>
          <w:rFonts w:ascii="Times New Roman" w:hAnsi="Times New Roman"/>
          <w:sz w:val="20"/>
          <w:szCs w:val="20"/>
        </w:rPr>
      </w:pPr>
    </w:p>
    <w:p w14:paraId="5502A78F" w14:textId="77777777" w:rsidR="00344DBF" w:rsidRPr="00344DBF" w:rsidRDefault="00344DBF" w:rsidP="00344DBF">
      <w:pPr>
        <w:ind w:right="284"/>
        <w:contextualSpacing/>
        <w:rPr>
          <w:rFonts w:ascii="Times New Roman" w:hAnsi="Times New Roman"/>
          <w:sz w:val="20"/>
          <w:szCs w:val="20"/>
        </w:rPr>
      </w:pPr>
      <w:r w:rsidRPr="00344DBF">
        <w:rPr>
          <w:rFonts w:ascii="Times New Roman" w:eastAsia="Arial" w:hAnsi="Times New Roman"/>
          <w:b/>
          <w:bCs/>
          <w:color w:val="9F000B"/>
          <w:sz w:val="32"/>
          <w:szCs w:val="32"/>
        </w:rPr>
        <w:t>Члени координаційної групи ВООЗ з розробки рекомендацій</w:t>
      </w:r>
    </w:p>
    <w:p w14:paraId="61E3036C" w14:textId="77777777" w:rsidR="00344DBF" w:rsidRPr="00344DBF" w:rsidRDefault="00344DBF" w:rsidP="00344DBF">
      <w:pPr>
        <w:spacing w:line="288" w:lineRule="exact"/>
        <w:contextualSpacing/>
        <w:rPr>
          <w:rFonts w:ascii="Times New Roman" w:hAnsi="Times New Roman"/>
          <w:sz w:val="20"/>
          <w:szCs w:val="20"/>
        </w:rPr>
      </w:pPr>
    </w:p>
    <w:p w14:paraId="5D072458" w14:textId="1F462040" w:rsidR="00344DBF" w:rsidRPr="00344DBF" w:rsidRDefault="00344DBF" w:rsidP="00344DBF">
      <w:pPr>
        <w:ind w:left="1540"/>
        <w:contextualSpacing/>
        <w:rPr>
          <w:rFonts w:ascii="Times New Roman" w:hAnsi="Times New Roman"/>
          <w:sz w:val="20"/>
          <w:szCs w:val="20"/>
        </w:rPr>
      </w:pPr>
      <w:r w:rsidRPr="00344DBF">
        <w:rPr>
          <w:rFonts w:ascii="Times New Roman" w:hAnsi="Times New Roman"/>
          <w:b/>
          <w:bCs/>
          <w:color w:val="B3103B"/>
          <w:sz w:val="24"/>
          <w:szCs w:val="24"/>
        </w:rPr>
        <w:t>Відділ Стоп ТБ (СТБ)</w:t>
      </w:r>
    </w:p>
    <w:p w14:paraId="760A2333" w14:textId="77777777" w:rsidR="00344DBF" w:rsidRPr="00344DBF" w:rsidRDefault="00344DBF" w:rsidP="00344DBF">
      <w:pPr>
        <w:spacing w:line="190" w:lineRule="exact"/>
        <w:contextualSpacing/>
        <w:rPr>
          <w:rFonts w:ascii="Times New Roman" w:hAnsi="Times New Roman"/>
          <w:sz w:val="20"/>
          <w:szCs w:val="20"/>
        </w:rPr>
      </w:pPr>
    </w:p>
    <w:p w14:paraId="7DF5568E"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Деніс Фальзон (Dennis Falzon)</w:t>
      </w:r>
    </w:p>
    <w:p w14:paraId="48068FAE" w14:textId="77777777" w:rsidR="00344DBF" w:rsidRPr="00344DBF" w:rsidRDefault="00344DBF" w:rsidP="00344DBF">
      <w:pPr>
        <w:spacing w:line="69" w:lineRule="exact"/>
        <w:contextualSpacing/>
        <w:rPr>
          <w:rFonts w:ascii="Times New Roman" w:hAnsi="Times New Roman"/>
          <w:sz w:val="20"/>
          <w:szCs w:val="20"/>
        </w:rPr>
      </w:pPr>
    </w:p>
    <w:p w14:paraId="3EC2D70F"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Катрін Флойд (Katherine Floyd)</w:t>
      </w:r>
    </w:p>
    <w:p w14:paraId="53C133EA" w14:textId="77777777" w:rsidR="00344DBF" w:rsidRPr="00344DBF" w:rsidRDefault="00344DBF" w:rsidP="00344DBF">
      <w:pPr>
        <w:spacing w:line="69" w:lineRule="exact"/>
        <w:contextualSpacing/>
        <w:rPr>
          <w:rFonts w:ascii="Times New Roman" w:hAnsi="Times New Roman"/>
          <w:sz w:val="20"/>
          <w:szCs w:val="20"/>
        </w:rPr>
      </w:pPr>
    </w:p>
    <w:p w14:paraId="35F16D34"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Гайлейсис Гетахун (Haileyesus Getahun)</w:t>
      </w:r>
    </w:p>
    <w:p w14:paraId="09F72B87" w14:textId="77777777" w:rsidR="00344DBF" w:rsidRPr="00344DBF" w:rsidRDefault="00344DBF" w:rsidP="00344DBF">
      <w:pPr>
        <w:spacing w:line="69" w:lineRule="exact"/>
        <w:contextualSpacing/>
        <w:rPr>
          <w:rFonts w:ascii="Times New Roman" w:hAnsi="Times New Roman"/>
          <w:sz w:val="20"/>
          <w:szCs w:val="20"/>
        </w:rPr>
      </w:pPr>
    </w:p>
    <w:p w14:paraId="6A4D8008"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Мальгосія Грземська (Malgosia Grzemska)</w:t>
      </w:r>
    </w:p>
    <w:p w14:paraId="3A359045" w14:textId="77777777" w:rsidR="00344DBF" w:rsidRPr="00344DBF" w:rsidRDefault="00344DBF" w:rsidP="00344DBF">
      <w:pPr>
        <w:spacing w:line="69" w:lineRule="exact"/>
        <w:contextualSpacing/>
        <w:rPr>
          <w:rFonts w:ascii="Times New Roman" w:hAnsi="Times New Roman"/>
          <w:sz w:val="20"/>
          <w:szCs w:val="20"/>
        </w:rPr>
      </w:pPr>
    </w:p>
    <w:p w14:paraId="33EC66FB"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Ернесто Джарамілло (Ernesto Jaramillo)</w:t>
      </w:r>
    </w:p>
    <w:p w14:paraId="0F3782B4" w14:textId="77777777" w:rsidR="00344DBF" w:rsidRPr="00344DBF" w:rsidRDefault="00344DBF" w:rsidP="00344DBF">
      <w:pPr>
        <w:spacing w:line="69" w:lineRule="exact"/>
        <w:contextualSpacing/>
        <w:rPr>
          <w:rFonts w:ascii="Times New Roman" w:hAnsi="Times New Roman"/>
          <w:sz w:val="20"/>
          <w:szCs w:val="20"/>
        </w:rPr>
      </w:pPr>
    </w:p>
    <w:p w14:paraId="5F9DECDC"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Крістіон Лінхард (Christian Lienhardt)</w:t>
      </w:r>
    </w:p>
    <w:p w14:paraId="489499F9" w14:textId="77777777" w:rsidR="00344DBF" w:rsidRPr="00344DBF" w:rsidRDefault="00344DBF" w:rsidP="00344DBF">
      <w:pPr>
        <w:spacing w:line="69" w:lineRule="exact"/>
        <w:contextualSpacing/>
        <w:rPr>
          <w:rFonts w:ascii="Times New Roman" w:hAnsi="Times New Roman"/>
          <w:sz w:val="20"/>
          <w:szCs w:val="20"/>
        </w:rPr>
      </w:pPr>
    </w:p>
    <w:p w14:paraId="07E3CE6F"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Маріо Равігліон (Mario Raviglione)</w:t>
      </w:r>
    </w:p>
    <w:p w14:paraId="49733E28" w14:textId="77777777" w:rsidR="00344DBF" w:rsidRPr="00344DBF" w:rsidRDefault="00344DBF" w:rsidP="00344DBF">
      <w:pPr>
        <w:spacing w:line="69" w:lineRule="exact"/>
        <w:contextualSpacing/>
        <w:rPr>
          <w:rFonts w:ascii="Times New Roman" w:hAnsi="Times New Roman"/>
          <w:sz w:val="20"/>
          <w:szCs w:val="20"/>
        </w:rPr>
      </w:pPr>
    </w:p>
    <w:p w14:paraId="65246975"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Фразер Вейрс (Fraser Wares)</w:t>
      </w:r>
    </w:p>
    <w:p w14:paraId="40EEA10B" w14:textId="77777777" w:rsidR="00344DBF" w:rsidRPr="00344DBF" w:rsidRDefault="00344DBF" w:rsidP="00344DBF">
      <w:pPr>
        <w:spacing w:line="69" w:lineRule="exact"/>
        <w:contextualSpacing/>
        <w:rPr>
          <w:rFonts w:ascii="Times New Roman" w:hAnsi="Times New Roman"/>
          <w:sz w:val="20"/>
          <w:szCs w:val="20"/>
        </w:rPr>
      </w:pPr>
    </w:p>
    <w:p w14:paraId="1DA50049"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Діана Вейл (Diana Weil)</w:t>
      </w:r>
    </w:p>
    <w:p w14:paraId="5E08A977" w14:textId="77777777" w:rsidR="00344DBF" w:rsidRPr="00344DBF" w:rsidRDefault="00344DBF" w:rsidP="00344DBF">
      <w:pPr>
        <w:spacing w:line="69" w:lineRule="exact"/>
        <w:contextualSpacing/>
        <w:rPr>
          <w:rFonts w:ascii="Times New Roman" w:hAnsi="Times New Roman"/>
          <w:sz w:val="20"/>
          <w:szCs w:val="20"/>
        </w:rPr>
      </w:pPr>
    </w:p>
    <w:p w14:paraId="0D5A15DF" w14:textId="77777777" w:rsidR="00344DBF" w:rsidRPr="00344DBF" w:rsidRDefault="00344DBF" w:rsidP="00344DBF">
      <w:pPr>
        <w:ind w:left="1540"/>
        <w:contextualSpacing/>
        <w:rPr>
          <w:rFonts w:ascii="Times New Roman" w:hAnsi="Times New Roman"/>
          <w:sz w:val="20"/>
          <w:szCs w:val="20"/>
        </w:rPr>
      </w:pPr>
      <w:r w:rsidRPr="00344DBF">
        <w:rPr>
          <w:rFonts w:ascii="Times New Roman" w:hAnsi="Times New Roman"/>
          <w:sz w:val="24"/>
          <w:szCs w:val="24"/>
        </w:rPr>
        <w:t>Карін Вейер (Karin Weyer)</w:t>
      </w:r>
    </w:p>
    <w:p w14:paraId="5FDDE083" w14:textId="77777777" w:rsidR="00344DBF" w:rsidRPr="00344DBF" w:rsidRDefault="00344DBF" w:rsidP="00344DBF">
      <w:pPr>
        <w:spacing w:line="200" w:lineRule="exact"/>
        <w:contextualSpacing/>
        <w:rPr>
          <w:rFonts w:ascii="Times New Roman" w:hAnsi="Times New Roman"/>
          <w:sz w:val="20"/>
          <w:szCs w:val="20"/>
        </w:rPr>
      </w:pPr>
    </w:p>
    <w:p w14:paraId="24543F5E" w14:textId="77777777" w:rsidR="00344DBF" w:rsidRPr="00344DBF" w:rsidRDefault="00344DBF" w:rsidP="00344DBF">
      <w:pPr>
        <w:spacing w:line="200" w:lineRule="exact"/>
        <w:contextualSpacing/>
        <w:rPr>
          <w:rFonts w:ascii="Times New Roman" w:hAnsi="Times New Roman"/>
          <w:sz w:val="20"/>
          <w:szCs w:val="20"/>
        </w:rPr>
      </w:pPr>
    </w:p>
    <w:p w14:paraId="4F0FD23D" w14:textId="77777777" w:rsidR="00344DBF" w:rsidRDefault="00344DBF" w:rsidP="00344DBF">
      <w:pPr>
        <w:spacing w:line="200" w:lineRule="exact"/>
        <w:contextualSpacing/>
        <w:rPr>
          <w:rFonts w:ascii="Times New Roman" w:hAnsi="Times New Roman"/>
          <w:sz w:val="20"/>
          <w:szCs w:val="20"/>
        </w:rPr>
      </w:pPr>
    </w:p>
    <w:p w14:paraId="1DB0D7FA" w14:textId="5992BCC1" w:rsidR="00344DBF" w:rsidRPr="00344DBF" w:rsidRDefault="00344DBF" w:rsidP="00344DBF">
      <w:pPr>
        <w:spacing w:line="200" w:lineRule="exact"/>
        <w:contextualSpacing/>
        <w:rPr>
          <w:rFonts w:ascii="Times New Roman" w:hAnsi="Times New Roman"/>
          <w:sz w:val="20"/>
          <w:szCs w:val="20"/>
        </w:rPr>
      </w:pPr>
    </w:p>
    <w:p w14:paraId="65B4D760" w14:textId="77777777" w:rsidR="00344DBF" w:rsidRDefault="00344DBF" w:rsidP="00344DBF">
      <w:pPr>
        <w:rPr>
          <w:rFonts w:ascii="Arial" w:eastAsia="Arial" w:hAnsi="Arial" w:cs="Arial"/>
          <w:b/>
          <w:bCs/>
          <w:color w:val="9F000B"/>
          <w:sz w:val="48"/>
          <w:szCs w:val="48"/>
        </w:rPr>
      </w:pPr>
    </w:p>
    <w:p w14:paraId="65B75A8F" w14:textId="77777777" w:rsidR="00344DBF" w:rsidRDefault="00344DBF" w:rsidP="00344DBF">
      <w:pPr>
        <w:rPr>
          <w:rFonts w:ascii="Arial" w:eastAsia="Arial" w:hAnsi="Arial" w:cs="Arial"/>
          <w:b/>
          <w:bCs/>
          <w:color w:val="9F000B"/>
          <w:sz w:val="48"/>
          <w:szCs w:val="48"/>
        </w:rPr>
      </w:pPr>
    </w:p>
    <w:p w14:paraId="6D601BD7" w14:textId="77777777" w:rsidR="00CD50AD" w:rsidRDefault="00CD50AD" w:rsidP="00344DBF">
      <w:pPr>
        <w:rPr>
          <w:rFonts w:ascii="Arial" w:eastAsia="Arial" w:hAnsi="Arial" w:cs="Arial"/>
          <w:b/>
          <w:bCs/>
          <w:color w:val="9F000B"/>
          <w:sz w:val="48"/>
          <w:szCs w:val="48"/>
        </w:rPr>
      </w:pPr>
    </w:p>
    <w:p w14:paraId="1B18FE3E" w14:textId="77777777" w:rsidR="00CD50AD" w:rsidRDefault="00CD50AD" w:rsidP="00344DBF">
      <w:pPr>
        <w:rPr>
          <w:rFonts w:ascii="Arial" w:eastAsia="Arial" w:hAnsi="Arial" w:cs="Arial"/>
          <w:b/>
          <w:bCs/>
          <w:color w:val="9F000B"/>
          <w:sz w:val="48"/>
          <w:szCs w:val="48"/>
        </w:rPr>
      </w:pPr>
    </w:p>
    <w:p w14:paraId="28DE632C" w14:textId="77777777" w:rsidR="00CD50AD" w:rsidRDefault="00CD50AD" w:rsidP="00344DBF">
      <w:pPr>
        <w:rPr>
          <w:rFonts w:ascii="Arial" w:eastAsia="Arial" w:hAnsi="Arial" w:cs="Arial"/>
          <w:b/>
          <w:bCs/>
          <w:color w:val="9F000B"/>
          <w:sz w:val="48"/>
          <w:szCs w:val="48"/>
        </w:rPr>
      </w:pPr>
    </w:p>
    <w:p w14:paraId="768F4FDF" w14:textId="77777777" w:rsidR="00CD50AD" w:rsidRDefault="00CD50AD" w:rsidP="00344DBF">
      <w:pPr>
        <w:rPr>
          <w:rFonts w:ascii="Arial" w:eastAsia="Arial" w:hAnsi="Arial" w:cs="Arial"/>
          <w:b/>
          <w:bCs/>
          <w:color w:val="9F000B"/>
          <w:sz w:val="48"/>
          <w:szCs w:val="48"/>
        </w:rPr>
      </w:pPr>
    </w:p>
    <w:p w14:paraId="72F80363" w14:textId="2FA6E407" w:rsidR="00CD50AD" w:rsidRDefault="00CD50AD" w:rsidP="00344DBF">
      <w:pPr>
        <w:rPr>
          <w:rFonts w:ascii="Arial" w:eastAsia="Arial" w:hAnsi="Arial" w:cs="Arial"/>
          <w:b/>
          <w:bCs/>
          <w:color w:val="9F000B"/>
          <w:sz w:val="48"/>
          <w:szCs w:val="48"/>
        </w:rPr>
      </w:pPr>
      <w:r>
        <w:rPr>
          <w:noProof/>
          <w:sz w:val="20"/>
          <w:szCs w:val="20"/>
        </w:rPr>
        <w:lastRenderedPageBreak/>
        <w:drawing>
          <wp:anchor distT="0" distB="0" distL="114300" distR="114300" simplePos="0" relativeHeight="251694080" behindDoc="1" locked="0" layoutInCell="0" allowOverlap="1" wp14:anchorId="3086AC26" wp14:editId="3986EBD9">
            <wp:simplePos x="0" y="0"/>
            <wp:positionH relativeFrom="column">
              <wp:posOffset>0</wp:posOffset>
            </wp:positionH>
            <wp:positionV relativeFrom="paragraph">
              <wp:posOffset>-635</wp:posOffset>
            </wp:positionV>
            <wp:extent cx="1734185" cy="122428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blip>
                    <a:srcRect/>
                    <a:stretch>
                      <a:fillRect/>
                    </a:stretch>
                  </pic:blipFill>
                  <pic:spPr bwMode="auto">
                    <a:xfrm>
                      <a:off x="0" y="0"/>
                      <a:ext cx="1734185" cy="1224280"/>
                    </a:xfrm>
                    <a:prstGeom prst="rect">
                      <a:avLst/>
                    </a:prstGeom>
                    <a:noFill/>
                  </pic:spPr>
                </pic:pic>
              </a:graphicData>
            </a:graphic>
          </wp:anchor>
        </w:drawing>
      </w:r>
    </w:p>
    <w:p w14:paraId="0812A699" w14:textId="77777777" w:rsidR="00CD50AD" w:rsidRDefault="00CD50AD" w:rsidP="00344DBF">
      <w:pPr>
        <w:rPr>
          <w:rFonts w:ascii="Arial" w:eastAsia="Arial" w:hAnsi="Arial" w:cs="Arial"/>
          <w:b/>
          <w:bCs/>
          <w:color w:val="9F000B"/>
          <w:sz w:val="48"/>
          <w:szCs w:val="48"/>
        </w:rPr>
      </w:pPr>
    </w:p>
    <w:p w14:paraId="4E8DE8FD" w14:textId="77777777" w:rsidR="00CD50AD" w:rsidRDefault="00CD50AD" w:rsidP="00344DBF">
      <w:pPr>
        <w:rPr>
          <w:rFonts w:ascii="Arial" w:eastAsia="Arial" w:hAnsi="Arial" w:cs="Arial"/>
          <w:b/>
          <w:bCs/>
          <w:color w:val="9F000B"/>
          <w:sz w:val="48"/>
          <w:szCs w:val="48"/>
        </w:rPr>
      </w:pPr>
    </w:p>
    <w:p w14:paraId="35300E99" w14:textId="77777777" w:rsidR="00CD50AD" w:rsidRDefault="00CD50AD" w:rsidP="00344DBF">
      <w:pPr>
        <w:rPr>
          <w:rFonts w:ascii="Arial" w:eastAsia="Arial" w:hAnsi="Arial" w:cs="Arial"/>
          <w:b/>
          <w:bCs/>
          <w:color w:val="9F000B"/>
          <w:sz w:val="48"/>
          <w:szCs w:val="48"/>
        </w:rPr>
      </w:pPr>
    </w:p>
    <w:p w14:paraId="0A78354D" w14:textId="77777777" w:rsidR="00344DBF" w:rsidRPr="00CD50AD" w:rsidRDefault="00344DBF" w:rsidP="00344DBF">
      <w:pPr>
        <w:rPr>
          <w:rFonts w:ascii="Times New Roman" w:hAnsi="Times New Roman"/>
          <w:sz w:val="20"/>
          <w:szCs w:val="20"/>
        </w:rPr>
      </w:pPr>
      <w:r w:rsidRPr="00CD50AD">
        <w:rPr>
          <w:rFonts w:ascii="Times New Roman" w:eastAsia="Arial" w:hAnsi="Times New Roman"/>
          <w:b/>
          <w:bCs/>
          <w:color w:val="9F000B"/>
          <w:sz w:val="48"/>
          <w:szCs w:val="48"/>
        </w:rPr>
        <w:t>Додаток 3</w:t>
      </w:r>
    </w:p>
    <w:p w14:paraId="43829D90" w14:textId="77777777" w:rsidR="00344DBF" w:rsidRPr="00CD50AD" w:rsidRDefault="00344DBF" w:rsidP="00344DBF">
      <w:pPr>
        <w:spacing w:line="387" w:lineRule="exact"/>
        <w:rPr>
          <w:rFonts w:ascii="Times New Roman" w:hAnsi="Times New Roman"/>
          <w:sz w:val="20"/>
          <w:szCs w:val="20"/>
        </w:rPr>
      </w:pPr>
    </w:p>
    <w:p w14:paraId="04E385B2" w14:textId="77777777" w:rsidR="00344DBF" w:rsidRPr="00CD50AD" w:rsidRDefault="00344DBF" w:rsidP="00344DBF">
      <w:pPr>
        <w:spacing w:line="263" w:lineRule="auto"/>
        <w:ind w:right="244"/>
        <w:jc w:val="center"/>
        <w:rPr>
          <w:rFonts w:ascii="Times New Roman" w:hAnsi="Times New Roman"/>
          <w:sz w:val="20"/>
          <w:szCs w:val="20"/>
        </w:rPr>
      </w:pPr>
      <w:r w:rsidRPr="00CD50AD">
        <w:rPr>
          <w:rFonts w:ascii="Times New Roman" w:eastAsia="Arial" w:hAnsi="Times New Roman"/>
          <w:b/>
          <w:bCs/>
          <w:color w:val="9F000B"/>
          <w:sz w:val="27"/>
          <w:szCs w:val="27"/>
        </w:rPr>
        <w:t>Зібрання Експертної групи для розробки тимчасових рекомендацій щодо використання бедаквіліну у лікуванні туберкульозу з множинною лікарською резистентністю</w:t>
      </w:r>
    </w:p>
    <w:p w14:paraId="278CA2C1" w14:textId="77777777" w:rsidR="00344DBF" w:rsidRPr="00CD50AD" w:rsidRDefault="00344DBF" w:rsidP="00344DBF">
      <w:pPr>
        <w:spacing w:line="189" w:lineRule="exact"/>
        <w:rPr>
          <w:rFonts w:ascii="Times New Roman" w:hAnsi="Times New Roman"/>
          <w:sz w:val="20"/>
          <w:szCs w:val="20"/>
        </w:rPr>
      </w:pPr>
    </w:p>
    <w:p w14:paraId="594C9C94" w14:textId="77777777" w:rsidR="00344DBF" w:rsidRPr="00CD50AD" w:rsidRDefault="00344DBF" w:rsidP="00344DBF">
      <w:pPr>
        <w:ind w:left="2520"/>
        <w:rPr>
          <w:rFonts w:ascii="Times New Roman" w:hAnsi="Times New Roman"/>
          <w:sz w:val="20"/>
          <w:szCs w:val="20"/>
        </w:rPr>
      </w:pPr>
      <w:r w:rsidRPr="00CD50AD">
        <w:rPr>
          <w:rFonts w:ascii="Times New Roman" w:hAnsi="Times New Roman"/>
          <w:b/>
          <w:bCs/>
          <w:color w:val="9F000B"/>
          <w:sz w:val="24"/>
          <w:szCs w:val="24"/>
        </w:rPr>
        <w:t>29-30 січня 2013 року, Женева</w:t>
      </w:r>
    </w:p>
    <w:p w14:paraId="6B1FCB21" w14:textId="77777777" w:rsidR="00344DBF" w:rsidRPr="00CD50AD" w:rsidRDefault="00344DBF" w:rsidP="00344DBF">
      <w:pPr>
        <w:spacing w:line="54" w:lineRule="exact"/>
        <w:rPr>
          <w:rFonts w:ascii="Times New Roman" w:hAnsi="Times New Roman"/>
          <w:sz w:val="20"/>
          <w:szCs w:val="20"/>
        </w:rPr>
      </w:pPr>
    </w:p>
    <w:p w14:paraId="3DC0AA5F" w14:textId="77777777" w:rsidR="00344DBF" w:rsidRPr="00CD50AD" w:rsidRDefault="00344DBF" w:rsidP="00344DBF">
      <w:pPr>
        <w:ind w:left="2720"/>
        <w:rPr>
          <w:rFonts w:ascii="Times New Roman" w:hAnsi="Times New Roman"/>
          <w:sz w:val="20"/>
          <w:szCs w:val="20"/>
        </w:rPr>
      </w:pPr>
      <w:r w:rsidRPr="00CD50AD">
        <w:rPr>
          <w:rFonts w:ascii="Times New Roman" w:hAnsi="Times New Roman"/>
          <w:b/>
          <w:bCs/>
          <w:sz w:val="24"/>
          <w:szCs w:val="24"/>
        </w:rPr>
        <w:t>Мета та порядок зібрання</w:t>
      </w:r>
    </w:p>
    <w:p w14:paraId="4257BFC1" w14:textId="77777777" w:rsidR="00344DBF" w:rsidRPr="00CD50AD" w:rsidRDefault="00344DBF" w:rsidP="00344DBF">
      <w:pPr>
        <w:rPr>
          <w:rFonts w:ascii="Times New Roman" w:hAnsi="Times New Roman"/>
          <w:sz w:val="20"/>
          <w:szCs w:val="20"/>
        </w:rPr>
      </w:pPr>
      <w:r w:rsidRPr="00CD50AD">
        <w:rPr>
          <w:rFonts w:ascii="Times New Roman" w:eastAsia="Arial" w:hAnsi="Times New Roman"/>
          <w:b/>
          <w:bCs/>
          <w:color w:val="9F000B"/>
          <w:sz w:val="28"/>
          <w:szCs w:val="28"/>
        </w:rPr>
        <w:t>Передумови:</w:t>
      </w:r>
    </w:p>
    <w:p w14:paraId="3B6428A7" w14:textId="77777777" w:rsidR="00344DBF" w:rsidRPr="00CD50AD" w:rsidRDefault="00344DBF" w:rsidP="00344DBF">
      <w:pPr>
        <w:spacing w:line="110" w:lineRule="exact"/>
        <w:rPr>
          <w:rFonts w:ascii="Times New Roman" w:hAnsi="Times New Roman"/>
          <w:sz w:val="20"/>
          <w:szCs w:val="20"/>
        </w:rPr>
      </w:pPr>
    </w:p>
    <w:p w14:paraId="630B678E" w14:textId="672B0661" w:rsidR="00344DBF" w:rsidRPr="00266FB3" w:rsidRDefault="00344DBF" w:rsidP="00266FB3">
      <w:pPr>
        <w:spacing w:line="266" w:lineRule="auto"/>
        <w:ind w:right="264"/>
        <w:jc w:val="both"/>
        <w:rPr>
          <w:rFonts w:ascii="Times New Roman" w:hAnsi="Times New Roman"/>
          <w:sz w:val="20"/>
          <w:szCs w:val="20"/>
        </w:rPr>
      </w:pPr>
      <w:r w:rsidRPr="00CD50AD">
        <w:rPr>
          <w:rFonts w:ascii="Times New Roman" w:hAnsi="Times New Roman"/>
        </w:rPr>
        <w:t>Поява лікарської стійкості є серйозною загрозою для глобального лікування та контролю туберкульозу (ТБ). За оцінками Всесвітньої організації охорони здоров’я (ВООЗ) в 2011 році в світі зафіксовано 310 000 випадків туберкульозу з множинною лікарською резистентністю ТБ-МЛР (тобто, стійкого щонайменше до рифампіцину та ізоніазиду). До ВООЗ надійшла інформація про 19% з них, в основному через наявність критичних прогалин у можливостях лікування та діагностики ТБ в більшості країн. Крім того, на даний момент вже 84 країни повідомили про хоча</w:t>
      </w:r>
      <w:r w:rsidR="00266FB3">
        <w:rPr>
          <w:rFonts w:ascii="Times New Roman" w:hAnsi="Times New Roman"/>
          <w:sz w:val="20"/>
          <w:szCs w:val="20"/>
        </w:rPr>
        <w:t xml:space="preserve"> б </w:t>
      </w:r>
      <w:r w:rsidRPr="00CD50AD">
        <w:rPr>
          <w:rFonts w:ascii="Times New Roman" w:hAnsi="Times New Roman"/>
          <w:sz w:val="23"/>
          <w:szCs w:val="23"/>
        </w:rPr>
        <w:t>один випадок туберкульозу з широкою лікарською стійкістю (ШЛС-ТБ) – форма захворювання, яка стійка до чотирьох основних протитуберкульозних препарати (рифампіцин, ізоніазид, фторхінолони та ін’єкційні засоби другої лінії) та має високий рівень смертності, особливо серед пацієнтів із супутнім вірусом імунодефіциту людини (ВІЛ).</w:t>
      </w:r>
      <w:r w:rsidRPr="00CD50AD">
        <w:rPr>
          <w:rFonts w:ascii="Times New Roman" w:hAnsi="Times New Roman"/>
          <w:sz w:val="26"/>
          <w:szCs w:val="26"/>
          <w:vertAlign w:val="superscript"/>
        </w:rPr>
        <w:t>30</w:t>
      </w:r>
    </w:p>
    <w:p w14:paraId="41FD1E2A" w14:textId="77777777" w:rsidR="00344DBF" w:rsidRPr="00CD50AD" w:rsidRDefault="00344DBF" w:rsidP="00344DBF">
      <w:pPr>
        <w:spacing w:line="265" w:lineRule="auto"/>
        <w:ind w:right="264"/>
        <w:jc w:val="both"/>
        <w:rPr>
          <w:rFonts w:ascii="Times New Roman" w:hAnsi="Times New Roman"/>
          <w:sz w:val="20"/>
          <w:szCs w:val="20"/>
        </w:rPr>
      </w:pPr>
      <w:r w:rsidRPr="00CD50AD">
        <w:rPr>
          <w:rFonts w:ascii="Times New Roman" w:hAnsi="Times New Roman"/>
        </w:rPr>
        <w:t>Глобальна розробка нових, швидких тестів для виявлення чутливості до лікарського засобу (наприклад, тест XpertMTB/RIF) викликає зростання рівня лікування хворих на ТБ-МЛР. Сучасні схеми лікування лікарсько-стійкого туберкульозу є далекими від задовільних. У той час як більшість хворих на чутливий туберкульоз зазвичай можна успішно лікувати за допомогою 6-місячного курсу лікування, більшість випадків ТБ-МЛР потребують терапії протягом 20 місяців або більше з щоденним призначенням препаратів значно токсичніших, ніж ті, що застосовуються для лікування чутливого ТБ. Серед пацієнтів, які по всьому світу розпочали лікування</w:t>
      </w:r>
    </w:p>
    <w:p w14:paraId="267AFCF0" w14:textId="77777777" w:rsidR="00344DBF" w:rsidRPr="00CD50AD" w:rsidRDefault="00344DBF" w:rsidP="00344DBF">
      <w:pPr>
        <w:spacing w:line="7" w:lineRule="exact"/>
        <w:rPr>
          <w:rFonts w:ascii="Times New Roman" w:hAnsi="Times New Roman"/>
          <w:sz w:val="20"/>
          <w:szCs w:val="20"/>
        </w:rPr>
      </w:pPr>
    </w:p>
    <w:p w14:paraId="57464832" w14:textId="77777777" w:rsidR="00344DBF" w:rsidRPr="00CD50AD" w:rsidRDefault="00344DBF" w:rsidP="00344DBF">
      <w:pPr>
        <w:numPr>
          <w:ilvl w:val="0"/>
          <w:numId w:val="21"/>
        </w:numPr>
        <w:tabs>
          <w:tab w:val="left" w:pos="160"/>
        </w:tabs>
        <w:spacing w:after="0" w:line="252" w:lineRule="auto"/>
        <w:ind w:right="264" w:firstLine="4"/>
        <w:jc w:val="both"/>
        <w:rPr>
          <w:rFonts w:ascii="Times New Roman" w:hAnsi="Times New Roman"/>
          <w:sz w:val="23"/>
          <w:szCs w:val="23"/>
        </w:rPr>
      </w:pPr>
      <w:r w:rsidRPr="00CD50AD">
        <w:rPr>
          <w:rFonts w:ascii="Times New Roman" w:hAnsi="Times New Roman"/>
          <w:sz w:val="23"/>
          <w:szCs w:val="23"/>
        </w:rPr>
        <w:t>2009 році, лише 48% досягли успішного результату терапії. Спостерігалася висока частота смертності (15%) та втрата зв’язку із хворими (28%), що, окрім інших причин, пов’язане із розвитком побічних явищ після введення препаратів. У підгрупі з 200 хворих у 14 країнах світу, що страждали на туберкульоз з широкою лікарською стійкістю (ШЛС-ТБ), успішно завершили лікування лише 33%, 22% хворих померли.</w:t>
      </w:r>
      <w:r w:rsidRPr="00CD50AD">
        <w:rPr>
          <w:rFonts w:ascii="Times New Roman" w:hAnsi="Times New Roman"/>
          <w:sz w:val="26"/>
          <w:szCs w:val="26"/>
          <w:vertAlign w:val="superscript"/>
        </w:rPr>
        <w:t>31</w:t>
      </w:r>
    </w:p>
    <w:p w14:paraId="2D0146E0" w14:textId="77777777" w:rsidR="00344DBF" w:rsidRPr="00CD50AD" w:rsidRDefault="00344DBF" w:rsidP="00344DBF">
      <w:pPr>
        <w:spacing w:line="200" w:lineRule="exact"/>
        <w:contextualSpacing/>
        <w:rPr>
          <w:rFonts w:ascii="Times New Roman" w:hAnsi="Times New Roman"/>
          <w:sz w:val="20"/>
          <w:szCs w:val="20"/>
        </w:rPr>
      </w:pPr>
    </w:p>
    <w:p w14:paraId="2508DB9D" w14:textId="77777777" w:rsidR="00344DBF" w:rsidRPr="00CD50AD" w:rsidRDefault="00344DBF" w:rsidP="00344DBF">
      <w:pPr>
        <w:spacing w:line="200" w:lineRule="exact"/>
        <w:contextualSpacing/>
        <w:rPr>
          <w:rFonts w:ascii="Times New Roman" w:hAnsi="Times New Roman"/>
          <w:sz w:val="20"/>
          <w:szCs w:val="20"/>
        </w:rPr>
      </w:pPr>
    </w:p>
    <w:p w14:paraId="7D1AF42E" w14:textId="77777777" w:rsidR="00344DBF" w:rsidRPr="00CD50AD" w:rsidRDefault="00344DBF" w:rsidP="00266FB3">
      <w:pPr>
        <w:spacing w:line="260" w:lineRule="auto"/>
        <w:ind w:right="560"/>
        <w:jc w:val="both"/>
        <w:rPr>
          <w:rFonts w:ascii="Times New Roman" w:hAnsi="Times New Roman"/>
          <w:sz w:val="20"/>
          <w:szCs w:val="20"/>
        </w:rPr>
      </w:pPr>
      <w:r w:rsidRPr="00CD50AD">
        <w:rPr>
          <w:rFonts w:ascii="Times New Roman" w:hAnsi="Times New Roman"/>
          <w:sz w:val="23"/>
          <w:szCs w:val="23"/>
        </w:rPr>
        <w:t>За останні десять років спостерігається значний прогрес в розробці ліків проти туберкульозу. Нові препарати для терапії ТБ-МЛР вступають до Фази ІІІ клінічних досліджень ефективності. ВООЗ має намір провести скликання Експертної групи для перегляду існуючих даних щодо ефективності та безпеки нового препарату бедаквіліну для лікування ТБ-МЛР. Також ЕГ має визначити, чи доцільно доповнити керівництво ВООЗ з терапії ТБ-МЛР тимчасовими рекомендаціями з використання даного препарату. Подібні заяви також подані на розгляд до інших національних регулюючих органів по всьому світу. В даний час ці документи проходять оцінку за процедурами «прискореного» або «умовного» затвердження.</w:t>
      </w:r>
    </w:p>
    <w:p w14:paraId="0E168F23" w14:textId="77777777" w:rsidR="00344DBF" w:rsidRPr="00CD50AD" w:rsidRDefault="00344DBF" w:rsidP="00344DBF">
      <w:pPr>
        <w:spacing w:line="135" w:lineRule="exact"/>
        <w:rPr>
          <w:rFonts w:ascii="Times New Roman" w:hAnsi="Times New Roman"/>
          <w:sz w:val="20"/>
          <w:szCs w:val="20"/>
        </w:rPr>
      </w:pPr>
    </w:p>
    <w:p w14:paraId="127DE019" w14:textId="77777777" w:rsidR="00344DBF" w:rsidRPr="00CD50AD" w:rsidRDefault="00344DBF" w:rsidP="00266FB3">
      <w:pPr>
        <w:rPr>
          <w:rFonts w:ascii="Times New Roman" w:hAnsi="Times New Roman"/>
          <w:sz w:val="20"/>
          <w:szCs w:val="20"/>
        </w:rPr>
      </w:pPr>
      <w:r w:rsidRPr="00CD50AD">
        <w:rPr>
          <w:rFonts w:ascii="Times New Roman" w:eastAsia="Arial" w:hAnsi="Times New Roman"/>
          <w:b/>
          <w:bCs/>
          <w:color w:val="9F000B"/>
          <w:sz w:val="28"/>
          <w:szCs w:val="28"/>
        </w:rPr>
        <w:t>Загальна мета:</w:t>
      </w:r>
    </w:p>
    <w:p w14:paraId="020AE345" w14:textId="77777777" w:rsidR="00344DBF" w:rsidRPr="00CD50AD" w:rsidRDefault="00344DBF" w:rsidP="00344DBF">
      <w:pPr>
        <w:spacing w:line="110" w:lineRule="exact"/>
        <w:rPr>
          <w:rFonts w:ascii="Times New Roman" w:hAnsi="Times New Roman"/>
          <w:sz w:val="20"/>
          <w:szCs w:val="20"/>
        </w:rPr>
      </w:pPr>
    </w:p>
    <w:p w14:paraId="76BD8CC7" w14:textId="77777777" w:rsidR="00344DBF" w:rsidRPr="00CD50AD" w:rsidRDefault="00344DBF" w:rsidP="00344DBF">
      <w:pPr>
        <w:spacing w:line="288" w:lineRule="auto"/>
        <w:ind w:left="260" w:right="560"/>
        <w:jc w:val="both"/>
        <w:rPr>
          <w:rFonts w:ascii="Times New Roman" w:hAnsi="Times New Roman"/>
          <w:sz w:val="20"/>
          <w:szCs w:val="20"/>
        </w:rPr>
      </w:pPr>
      <w:r w:rsidRPr="00CD50AD">
        <w:rPr>
          <w:rFonts w:ascii="Times New Roman" w:hAnsi="Times New Roman"/>
        </w:rPr>
        <w:t>Завдання ЕГ – оцінити переваги бедаквіліну, нового препарату, що розроблений для лікування ТБ-МЛР (форми туберкульозу, що загрожує життю), та надати ВООЗ тимчасові рекомендації по його використанню з іншими препаратами другої лінії.</w:t>
      </w:r>
    </w:p>
    <w:p w14:paraId="60CEAFC5" w14:textId="77777777" w:rsidR="00344DBF" w:rsidRPr="00CD50AD" w:rsidRDefault="00344DBF" w:rsidP="00344DBF">
      <w:pPr>
        <w:spacing w:line="105" w:lineRule="exact"/>
        <w:rPr>
          <w:rFonts w:ascii="Times New Roman" w:hAnsi="Times New Roman"/>
          <w:sz w:val="20"/>
          <w:szCs w:val="20"/>
        </w:rPr>
      </w:pPr>
    </w:p>
    <w:p w14:paraId="743A04AF" w14:textId="77777777" w:rsidR="00344DBF" w:rsidRPr="00CD50AD" w:rsidRDefault="00344DBF" w:rsidP="00266FB3">
      <w:pPr>
        <w:rPr>
          <w:rFonts w:ascii="Times New Roman" w:hAnsi="Times New Roman"/>
          <w:sz w:val="20"/>
          <w:szCs w:val="20"/>
        </w:rPr>
      </w:pPr>
      <w:r w:rsidRPr="00CD50AD">
        <w:rPr>
          <w:rFonts w:ascii="Times New Roman" w:eastAsia="Arial" w:hAnsi="Times New Roman"/>
          <w:b/>
          <w:bCs/>
          <w:color w:val="9F000B"/>
          <w:sz w:val="28"/>
          <w:szCs w:val="28"/>
        </w:rPr>
        <w:t>Особливі завдання:</w:t>
      </w:r>
    </w:p>
    <w:p w14:paraId="05340EAE" w14:textId="77777777" w:rsidR="00344DBF" w:rsidRPr="00CD50AD" w:rsidRDefault="00344DBF" w:rsidP="00344DBF">
      <w:pPr>
        <w:numPr>
          <w:ilvl w:val="0"/>
          <w:numId w:val="22"/>
        </w:numPr>
        <w:tabs>
          <w:tab w:val="left" w:pos="660"/>
        </w:tabs>
        <w:spacing w:after="0" w:line="267" w:lineRule="auto"/>
        <w:ind w:left="660" w:right="560" w:hanging="399"/>
        <w:jc w:val="both"/>
        <w:rPr>
          <w:rFonts w:ascii="Times New Roman" w:hAnsi="Times New Roman"/>
          <w:sz w:val="23"/>
          <w:szCs w:val="23"/>
        </w:rPr>
      </w:pPr>
      <w:r w:rsidRPr="00CD50AD">
        <w:rPr>
          <w:rFonts w:ascii="Times New Roman" w:hAnsi="Times New Roman"/>
          <w:sz w:val="23"/>
          <w:szCs w:val="23"/>
        </w:rPr>
        <w:t>Оцінити переваги/шкоду призначення бедаквіліну у комбінації з рекомендованими лікарськими засобами для терапії ТБ-МЛР дотримуючись наступних умов:</w:t>
      </w:r>
    </w:p>
    <w:p w14:paraId="3923D665" w14:textId="77777777" w:rsidR="00344DBF" w:rsidRPr="00CD50AD" w:rsidRDefault="00344DBF" w:rsidP="00266FB3">
      <w:pPr>
        <w:spacing w:line="1" w:lineRule="exact"/>
        <w:rPr>
          <w:rFonts w:ascii="Times New Roman" w:hAnsi="Times New Roman"/>
          <w:sz w:val="23"/>
          <w:szCs w:val="23"/>
        </w:rPr>
      </w:pPr>
    </w:p>
    <w:p w14:paraId="084FBA02" w14:textId="7248AC3C" w:rsidR="00344DBF" w:rsidRPr="00CD50AD" w:rsidRDefault="00344DBF" w:rsidP="00266FB3">
      <w:pPr>
        <w:spacing w:line="265" w:lineRule="auto"/>
        <w:ind w:left="1060" w:right="560" w:hanging="397"/>
        <w:rPr>
          <w:rFonts w:ascii="Times New Roman" w:hAnsi="Times New Roman"/>
          <w:sz w:val="23"/>
          <w:szCs w:val="23"/>
        </w:rPr>
      </w:pPr>
      <w:r w:rsidRPr="00CD50AD">
        <w:rPr>
          <w:rFonts w:ascii="Times New Roman" w:hAnsi="Times New Roman"/>
          <w:sz w:val="23"/>
          <w:szCs w:val="23"/>
        </w:rPr>
        <w:t>1.1. Ефективність визначають шляхом порівняння</w:t>
      </w:r>
      <w:r w:rsidR="00266FB3">
        <w:rPr>
          <w:rFonts w:ascii="Times New Roman" w:hAnsi="Times New Roman"/>
          <w:sz w:val="23"/>
          <w:szCs w:val="23"/>
        </w:rPr>
        <w:t xml:space="preserve"> дії нового препарату з плацебо </w:t>
      </w:r>
      <w:r w:rsidRPr="00CD50AD">
        <w:rPr>
          <w:rFonts w:ascii="Times New Roman" w:hAnsi="Times New Roman"/>
          <w:sz w:val="23"/>
          <w:szCs w:val="23"/>
        </w:rPr>
        <w:t>у комбінації з оптимальною фоновою терапією, використовуючи</w:t>
      </w:r>
      <w:r w:rsidR="00266FB3">
        <w:rPr>
          <w:rFonts w:ascii="Times New Roman" w:hAnsi="Times New Roman"/>
          <w:sz w:val="23"/>
          <w:szCs w:val="23"/>
        </w:rPr>
        <w:t xml:space="preserve"> в </w:t>
      </w:r>
      <w:r w:rsidRPr="00CD50AD">
        <w:rPr>
          <w:rFonts w:ascii="Times New Roman" w:hAnsi="Times New Roman"/>
          <w:sz w:val="23"/>
          <w:szCs w:val="23"/>
        </w:rPr>
        <w:t>якості сурогатного маркера «конверсію культури за 6 місяців», «час до конверсії культури» та за необхідності інші характеристики.</w:t>
      </w:r>
    </w:p>
    <w:p w14:paraId="759F9F63" w14:textId="77777777" w:rsidR="00344DBF" w:rsidRPr="00CD50AD" w:rsidRDefault="00344DBF" w:rsidP="00344DBF">
      <w:pPr>
        <w:spacing w:line="3" w:lineRule="exact"/>
        <w:rPr>
          <w:rFonts w:ascii="Times New Roman" w:hAnsi="Times New Roman"/>
          <w:sz w:val="20"/>
          <w:szCs w:val="20"/>
        </w:rPr>
      </w:pPr>
    </w:p>
    <w:p w14:paraId="07B28FCE" w14:textId="77777777" w:rsidR="00344DBF" w:rsidRPr="00CD50AD" w:rsidRDefault="00344DBF" w:rsidP="00344DBF">
      <w:pPr>
        <w:spacing w:line="267" w:lineRule="auto"/>
        <w:ind w:left="1060" w:right="560" w:hanging="396"/>
        <w:jc w:val="both"/>
        <w:rPr>
          <w:rFonts w:ascii="Times New Roman" w:hAnsi="Times New Roman"/>
          <w:sz w:val="20"/>
          <w:szCs w:val="20"/>
        </w:rPr>
      </w:pPr>
      <w:r w:rsidRPr="00CD50AD">
        <w:rPr>
          <w:rFonts w:ascii="Times New Roman" w:hAnsi="Times New Roman"/>
          <w:sz w:val="23"/>
          <w:szCs w:val="23"/>
        </w:rPr>
        <w:t>1.2. Безпеку визначають шляхом оцінки типу, частоти та тяжкості побічних явищ, що виникають внаслідок призначення нового препарату, а також рівня смертності.</w:t>
      </w:r>
    </w:p>
    <w:p w14:paraId="6843889B" w14:textId="77777777" w:rsidR="00344DBF" w:rsidRPr="00CD50AD" w:rsidRDefault="00344DBF" w:rsidP="00344DBF">
      <w:pPr>
        <w:spacing w:line="2" w:lineRule="exact"/>
        <w:rPr>
          <w:rFonts w:ascii="Times New Roman" w:hAnsi="Times New Roman"/>
          <w:sz w:val="20"/>
          <w:szCs w:val="20"/>
        </w:rPr>
      </w:pPr>
    </w:p>
    <w:p w14:paraId="01DC9A0C" w14:textId="77777777" w:rsidR="00344DBF" w:rsidRPr="00CD50AD" w:rsidRDefault="00344DBF" w:rsidP="00344DBF">
      <w:pPr>
        <w:spacing w:line="267" w:lineRule="auto"/>
        <w:ind w:left="1060" w:right="560" w:hanging="396"/>
        <w:jc w:val="both"/>
        <w:rPr>
          <w:rFonts w:ascii="Times New Roman" w:hAnsi="Times New Roman"/>
          <w:sz w:val="20"/>
          <w:szCs w:val="20"/>
        </w:rPr>
      </w:pPr>
      <w:r w:rsidRPr="00CD50AD">
        <w:rPr>
          <w:rFonts w:ascii="Times New Roman" w:hAnsi="Times New Roman"/>
          <w:sz w:val="23"/>
          <w:szCs w:val="23"/>
        </w:rPr>
        <w:t>1.3. Доступність препарату визначають шляхом моделювання прогнозної вартості та економічної ефективності лікування ТБ-МЛР з використанням нового лікарського засобу.</w:t>
      </w:r>
    </w:p>
    <w:p w14:paraId="070E7BE1" w14:textId="77777777" w:rsidR="00344DBF" w:rsidRPr="00CD50AD" w:rsidRDefault="00344DBF" w:rsidP="00344DBF">
      <w:pPr>
        <w:spacing w:line="2" w:lineRule="exact"/>
        <w:rPr>
          <w:rFonts w:ascii="Times New Roman" w:hAnsi="Times New Roman"/>
          <w:sz w:val="20"/>
          <w:szCs w:val="20"/>
        </w:rPr>
      </w:pPr>
    </w:p>
    <w:p w14:paraId="51B31F16" w14:textId="77777777" w:rsidR="00344DBF" w:rsidRPr="00CD50AD" w:rsidRDefault="00344DBF" w:rsidP="00344DBF">
      <w:pPr>
        <w:numPr>
          <w:ilvl w:val="0"/>
          <w:numId w:val="23"/>
        </w:numPr>
        <w:tabs>
          <w:tab w:val="left" w:pos="660"/>
        </w:tabs>
        <w:spacing w:after="0" w:line="272" w:lineRule="auto"/>
        <w:ind w:left="660" w:right="560" w:hanging="399"/>
        <w:jc w:val="both"/>
        <w:rPr>
          <w:rFonts w:ascii="Times New Roman" w:hAnsi="Times New Roman"/>
        </w:rPr>
      </w:pPr>
      <w:r w:rsidRPr="00CD50AD">
        <w:rPr>
          <w:rFonts w:ascii="Times New Roman" w:hAnsi="Times New Roman"/>
        </w:rPr>
        <w:t>На підставі отриманих даних представити проміжне керівництво з використання препарату у рамках рекомендованих ВООЗ режимів лікування ТБ-МЛР, беручи до уваги недостатність деякої інформації через відсутність даних Фази ІІІ</w:t>
      </w:r>
    </w:p>
    <w:p w14:paraId="5FBC703D" w14:textId="77777777" w:rsidR="00344DBF" w:rsidRPr="00CD50AD" w:rsidRDefault="00344DBF" w:rsidP="00344DBF">
      <w:pPr>
        <w:spacing w:line="1" w:lineRule="exact"/>
        <w:rPr>
          <w:rFonts w:ascii="Times New Roman" w:hAnsi="Times New Roman"/>
        </w:rPr>
      </w:pPr>
    </w:p>
    <w:p w14:paraId="5B2ABC3C" w14:textId="77777777" w:rsidR="00344DBF" w:rsidRPr="00CD50AD" w:rsidRDefault="00344DBF" w:rsidP="00344DBF">
      <w:pPr>
        <w:spacing w:line="260" w:lineRule="auto"/>
        <w:ind w:left="660" w:right="560"/>
        <w:rPr>
          <w:rFonts w:ascii="Times New Roman" w:hAnsi="Times New Roman"/>
        </w:rPr>
      </w:pPr>
      <w:r w:rsidRPr="00CD50AD">
        <w:rPr>
          <w:rFonts w:ascii="Times New Roman" w:hAnsi="Times New Roman"/>
          <w:sz w:val="23"/>
          <w:szCs w:val="23"/>
        </w:rPr>
        <w:lastRenderedPageBreak/>
        <w:t>клінічного дослідження. Керівництво включатиме перелік необхідних даних та мінімальних умов для використання нового режиму у програмах.</w:t>
      </w:r>
    </w:p>
    <w:p w14:paraId="11842F1A" w14:textId="77777777" w:rsidR="00344DBF" w:rsidRPr="00CD50AD" w:rsidRDefault="00344DBF" w:rsidP="00344DBF">
      <w:pPr>
        <w:spacing w:line="57" w:lineRule="exact"/>
        <w:rPr>
          <w:rFonts w:ascii="Times New Roman" w:hAnsi="Times New Roman"/>
          <w:sz w:val="20"/>
          <w:szCs w:val="20"/>
        </w:rPr>
      </w:pPr>
    </w:p>
    <w:p w14:paraId="170FC21A" w14:textId="67E6907E" w:rsidR="00344DBF" w:rsidRPr="00CD50AD" w:rsidRDefault="00266FB3" w:rsidP="00344DBF">
      <w:pPr>
        <w:spacing w:line="270" w:lineRule="auto"/>
        <w:ind w:left="260" w:right="560"/>
        <w:jc w:val="both"/>
        <w:rPr>
          <w:rFonts w:ascii="Times New Roman" w:hAnsi="Times New Roman"/>
          <w:sz w:val="20"/>
          <w:szCs w:val="20"/>
        </w:rPr>
      </w:pPr>
      <w:r>
        <w:rPr>
          <w:rFonts w:ascii="Times New Roman" w:eastAsia="Arial" w:hAnsi="Times New Roman"/>
          <w:i/>
          <w:iCs/>
          <w:sz w:val="23"/>
          <w:szCs w:val="23"/>
        </w:rPr>
        <w:t>Тимчасове</w:t>
      </w:r>
      <w:r w:rsidR="00344DBF" w:rsidRPr="00CD50AD">
        <w:rPr>
          <w:rFonts w:ascii="Times New Roman" w:eastAsia="Arial" w:hAnsi="Times New Roman"/>
          <w:i/>
          <w:iCs/>
          <w:sz w:val="23"/>
          <w:szCs w:val="23"/>
        </w:rPr>
        <w:t xml:space="preserve"> керівництво </w:t>
      </w:r>
      <w:r w:rsidR="00344DBF" w:rsidRPr="00CD50AD">
        <w:rPr>
          <w:rFonts w:ascii="Times New Roman" w:hAnsi="Times New Roman"/>
          <w:sz w:val="23"/>
          <w:szCs w:val="23"/>
        </w:rPr>
        <w:t>адресоване національним програмам боротьби з</w:t>
      </w:r>
      <w:r w:rsidR="00344DBF" w:rsidRPr="00CD50AD">
        <w:rPr>
          <w:rFonts w:ascii="Times New Roman" w:eastAsia="Arial" w:hAnsi="Times New Roman"/>
          <w:i/>
          <w:iCs/>
          <w:sz w:val="23"/>
          <w:szCs w:val="23"/>
        </w:rPr>
        <w:t xml:space="preserve"> </w:t>
      </w:r>
      <w:r w:rsidR="00344DBF" w:rsidRPr="00CD50AD">
        <w:rPr>
          <w:rFonts w:ascii="Times New Roman" w:hAnsi="Times New Roman"/>
          <w:sz w:val="23"/>
          <w:szCs w:val="23"/>
        </w:rPr>
        <w:t>туберкульозом, медичним працівникам, академікам, донорам та технічним партнерам.</w:t>
      </w:r>
    </w:p>
    <w:p w14:paraId="08F78BCA" w14:textId="77777777" w:rsidR="0095658D" w:rsidRPr="00CD50AD" w:rsidRDefault="0095658D" w:rsidP="0095658D">
      <w:pPr>
        <w:ind w:left="260"/>
        <w:rPr>
          <w:rFonts w:ascii="Times New Roman" w:hAnsi="Times New Roman"/>
          <w:sz w:val="20"/>
          <w:szCs w:val="20"/>
        </w:rPr>
      </w:pPr>
      <w:r w:rsidRPr="00CD50AD">
        <w:rPr>
          <w:rFonts w:ascii="Times New Roman" w:eastAsia="Arial" w:hAnsi="Times New Roman"/>
          <w:b/>
          <w:bCs/>
          <w:color w:val="9F000B"/>
          <w:sz w:val="28"/>
          <w:szCs w:val="28"/>
        </w:rPr>
        <w:t>Очікувані результати:</w:t>
      </w:r>
    </w:p>
    <w:p w14:paraId="1BBA740A" w14:textId="77777777" w:rsidR="0095658D" w:rsidRPr="00CD50AD" w:rsidRDefault="0095658D" w:rsidP="0095658D">
      <w:pPr>
        <w:spacing w:line="110" w:lineRule="exact"/>
        <w:rPr>
          <w:rFonts w:ascii="Times New Roman" w:hAnsi="Times New Roman"/>
          <w:sz w:val="20"/>
          <w:szCs w:val="20"/>
        </w:rPr>
      </w:pPr>
    </w:p>
    <w:p w14:paraId="5B026B30" w14:textId="77777777" w:rsidR="0095658D" w:rsidRPr="00CD50AD" w:rsidRDefault="0095658D" w:rsidP="0095658D">
      <w:pPr>
        <w:numPr>
          <w:ilvl w:val="0"/>
          <w:numId w:val="24"/>
        </w:numPr>
        <w:tabs>
          <w:tab w:val="left" w:pos="660"/>
        </w:tabs>
        <w:spacing w:after="0" w:line="258" w:lineRule="auto"/>
        <w:ind w:left="660" w:right="560" w:hanging="399"/>
        <w:jc w:val="both"/>
        <w:rPr>
          <w:rFonts w:ascii="Times New Roman" w:hAnsi="Times New Roman"/>
          <w:sz w:val="23"/>
          <w:szCs w:val="23"/>
        </w:rPr>
      </w:pPr>
      <w:r w:rsidRPr="00CD50AD">
        <w:rPr>
          <w:rFonts w:ascii="Times New Roman" w:hAnsi="Times New Roman"/>
          <w:sz w:val="23"/>
          <w:szCs w:val="23"/>
        </w:rPr>
        <w:t>Проект рекомендацій, які складені на основі якості доказів, впливу препарату на здоров’я хворих, можливість його впровадження, економічної ефективності, а також висновків про співвідношення користі та шкідливої дії, буде використовуватись у програмах лікування туберкульозу. Основна мета – моніторинг та оцінка ефективності бедаквіліну в рамках рекомендованих ВООЗ режимів терапії ТБ-МЛР.</w:t>
      </w:r>
    </w:p>
    <w:p w14:paraId="06D6FC30" w14:textId="77777777" w:rsidR="0095658D" w:rsidRPr="00CD50AD" w:rsidRDefault="0095658D" w:rsidP="0095658D">
      <w:pPr>
        <w:spacing w:line="63" w:lineRule="exact"/>
        <w:rPr>
          <w:rFonts w:ascii="Times New Roman" w:hAnsi="Times New Roman"/>
          <w:sz w:val="20"/>
          <w:szCs w:val="20"/>
        </w:rPr>
      </w:pPr>
    </w:p>
    <w:p w14:paraId="0095788F" w14:textId="77777777" w:rsidR="0095658D" w:rsidRDefault="0095658D" w:rsidP="0095658D">
      <w:pPr>
        <w:numPr>
          <w:ilvl w:val="0"/>
          <w:numId w:val="25"/>
        </w:numPr>
        <w:tabs>
          <w:tab w:val="left" w:pos="660"/>
        </w:tabs>
        <w:spacing w:after="0" w:line="290" w:lineRule="auto"/>
        <w:ind w:left="660" w:right="560" w:hanging="399"/>
        <w:rPr>
          <w:rFonts w:ascii="Times New Roman" w:hAnsi="Times New Roman"/>
          <w:sz w:val="23"/>
          <w:szCs w:val="23"/>
        </w:rPr>
      </w:pPr>
      <w:r w:rsidRPr="00CD50AD">
        <w:rPr>
          <w:rFonts w:ascii="Times New Roman" w:hAnsi="Times New Roman"/>
          <w:sz w:val="23"/>
          <w:szCs w:val="23"/>
        </w:rPr>
        <w:t>Визначити прогалини в існуючих даних та напрямки подальших досліджень доки не з’являться кінцеві дані Фази ІІІ випробування.</w:t>
      </w:r>
    </w:p>
    <w:p w14:paraId="237187A6" w14:textId="77777777" w:rsidR="00CD50AD" w:rsidRDefault="00CD50AD" w:rsidP="00CD50AD">
      <w:pPr>
        <w:tabs>
          <w:tab w:val="left" w:pos="660"/>
        </w:tabs>
        <w:spacing w:after="0" w:line="290" w:lineRule="auto"/>
        <w:ind w:right="560"/>
        <w:rPr>
          <w:rFonts w:ascii="Times New Roman" w:hAnsi="Times New Roman"/>
          <w:sz w:val="23"/>
          <w:szCs w:val="23"/>
        </w:rPr>
      </w:pPr>
    </w:p>
    <w:p w14:paraId="223AF14E" w14:textId="77777777" w:rsidR="00CD50AD" w:rsidRDefault="00CD50AD" w:rsidP="00CD50AD">
      <w:pPr>
        <w:tabs>
          <w:tab w:val="left" w:pos="660"/>
        </w:tabs>
        <w:spacing w:after="0" w:line="290" w:lineRule="auto"/>
        <w:ind w:right="560"/>
        <w:rPr>
          <w:rFonts w:ascii="Times New Roman" w:hAnsi="Times New Roman"/>
          <w:sz w:val="23"/>
          <w:szCs w:val="23"/>
        </w:rPr>
      </w:pPr>
    </w:p>
    <w:p w14:paraId="4A481347" w14:textId="77777777" w:rsidR="00CD50AD" w:rsidRDefault="00CD50AD" w:rsidP="00CD50AD">
      <w:pPr>
        <w:tabs>
          <w:tab w:val="left" w:pos="660"/>
        </w:tabs>
        <w:spacing w:after="0" w:line="290" w:lineRule="auto"/>
        <w:ind w:right="560"/>
        <w:rPr>
          <w:rFonts w:ascii="Times New Roman" w:hAnsi="Times New Roman"/>
          <w:sz w:val="23"/>
          <w:szCs w:val="23"/>
        </w:rPr>
      </w:pPr>
    </w:p>
    <w:p w14:paraId="4A1871BF" w14:textId="77777777" w:rsidR="00CD50AD" w:rsidRDefault="00CD50AD" w:rsidP="00CD50AD">
      <w:pPr>
        <w:tabs>
          <w:tab w:val="left" w:pos="660"/>
        </w:tabs>
        <w:spacing w:after="0" w:line="290" w:lineRule="auto"/>
        <w:ind w:right="560"/>
        <w:rPr>
          <w:rFonts w:ascii="Times New Roman" w:hAnsi="Times New Roman"/>
          <w:sz w:val="23"/>
          <w:szCs w:val="23"/>
        </w:rPr>
      </w:pPr>
    </w:p>
    <w:p w14:paraId="26D075E5" w14:textId="77777777" w:rsidR="00CD50AD" w:rsidRDefault="00CD50AD" w:rsidP="00CD50AD">
      <w:pPr>
        <w:tabs>
          <w:tab w:val="left" w:pos="660"/>
        </w:tabs>
        <w:spacing w:after="0" w:line="290" w:lineRule="auto"/>
        <w:ind w:right="560"/>
        <w:rPr>
          <w:rFonts w:ascii="Times New Roman" w:hAnsi="Times New Roman"/>
          <w:sz w:val="23"/>
          <w:szCs w:val="23"/>
        </w:rPr>
      </w:pPr>
    </w:p>
    <w:p w14:paraId="26478CF0" w14:textId="77777777" w:rsidR="00CD50AD" w:rsidRDefault="00CD50AD" w:rsidP="00CD50AD">
      <w:pPr>
        <w:tabs>
          <w:tab w:val="left" w:pos="660"/>
        </w:tabs>
        <w:spacing w:after="0" w:line="290" w:lineRule="auto"/>
        <w:ind w:right="560"/>
        <w:rPr>
          <w:rFonts w:ascii="Times New Roman" w:hAnsi="Times New Roman"/>
          <w:sz w:val="23"/>
          <w:szCs w:val="23"/>
        </w:rPr>
      </w:pPr>
    </w:p>
    <w:p w14:paraId="21F69640" w14:textId="77777777" w:rsidR="00CD50AD" w:rsidRDefault="00CD50AD" w:rsidP="00CD50AD">
      <w:pPr>
        <w:tabs>
          <w:tab w:val="left" w:pos="660"/>
        </w:tabs>
        <w:spacing w:after="0" w:line="290" w:lineRule="auto"/>
        <w:ind w:right="560"/>
        <w:rPr>
          <w:rFonts w:ascii="Times New Roman" w:hAnsi="Times New Roman"/>
          <w:sz w:val="23"/>
          <w:szCs w:val="23"/>
        </w:rPr>
      </w:pPr>
    </w:p>
    <w:p w14:paraId="0BEEDE89" w14:textId="77777777" w:rsidR="00CD50AD" w:rsidRDefault="00CD50AD" w:rsidP="00CD50AD">
      <w:pPr>
        <w:tabs>
          <w:tab w:val="left" w:pos="660"/>
        </w:tabs>
        <w:spacing w:after="0" w:line="290" w:lineRule="auto"/>
        <w:ind w:right="560"/>
        <w:rPr>
          <w:rFonts w:ascii="Times New Roman" w:hAnsi="Times New Roman"/>
          <w:sz w:val="23"/>
          <w:szCs w:val="23"/>
        </w:rPr>
      </w:pPr>
    </w:p>
    <w:p w14:paraId="65DBD39B" w14:textId="77777777" w:rsidR="00CD50AD" w:rsidRDefault="00CD50AD" w:rsidP="00CD50AD">
      <w:pPr>
        <w:tabs>
          <w:tab w:val="left" w:pos="660"/>
        </w:tabs>
        <w:spacing w:after="0" w:line="290" w:lineRule="auto"/>
        <w:ind w:right="560"/>
        <w:rPr>
          <w:rFonts w:ascii="Times New Roman" w:hAnsi="Times New Roman"/>
          <w:sz w:val="23"/>
          <w:szCs w:val="23"/>
        </w:rPr>
      </w:pPr>
    </w:p>
    <w:p w14:paraId="3D51D719" w14:textId="77777777" w:rsidR="00CD50AD" w:rsidRDefault="00CD50AD" w:rsidP="00CD50AD">
      <w:pPr>
        <w:tabs>
          <w:tab w:val="left" w:pos="660"/>
        </w:tabs>
        <w:spacing w:after="0" w:line="290" w:lineRule="auto"/>
        <w:ind w:right="560"/>
        <w:rPr>
          <w:rFonts w:ascii="Times New Roman" w:hAnsi="Times New Roman"/>
          <w:sz w:val="23"/>
          <w:szCs w:val="23"/>
        </w:rPr>
      </w:pPr>
    </w:p>
    <w:p w14:paraId="07B5A23E" w14:textId="77777777" w:rsidR="00CD50AD" w:rsidRDefault="00CD50AD" w:rsidP="00CD50AD">
      <w:pPr>
        <w:tabs>
          <w:tab w:val="left" w:pos="660"/>
        </w:tabs>
        <w:spacing w:after="0" w:line="290" w:lineRule="auto"/>
        <w:ind w:right="560"/>
        <w:rPr>
          <w:rFonts w:ascii="Times New Roman" w:hAnsi="Times New Roman"/>
          <w:sz w:val="23"/>
          <w:szCs w:val="23"/>
        </w:rPr>
      </w:pPr>
    </w:p>
    <w:p w14:paraId="5E1DD4ED" w14:textId="77777777" w:rsidR="00CD50AD" w:rsidRDefault="00CD50AD" w:rsidP="00CD50AD">
      <w:pPr>
        <w:tabs>
          <w:tab w:val="left" w:pos="660"/>
        </w:tabs>
        <w:spacing w:after="0" w:line="290" w:lineRule="auto"/>
        <w:ind w:right="560"/>
        <w:rPr>
          <w:rFonts w:ascii="Times New Roman" w:hAnsi="Times New Roman"/>
          <w:sz w:val="23"/>
          <w:szCs w:val="23"/>
        </w:rPr>
      </w:pPr>
    </w:p>
    <w:p w14:paraId="397E6EFA" w14:textId="77777777" w:rsidR="00CD50AD" w:rsidRDefault="00CD50AD" w:rsidP="00CD50AD">
      <w:pPr>
        <w:tabs>
          <w:tab w:val="left" w:pos="660"/>
        </w:tabs>
        <w:spacing w:after="0" w:line="290" w:lineRule="auto"/>
        <w:ind w:right="560"/>
        <w:rPr>
          <w:rFonts w:ascii="Times New Roman" w:hAnsi="Times New Roman"/>
          <w:sz w:val="23"/>
          <w:szCs w:val="23"/>
        </w:rPr>
      </w:pPr>
    </w:p>
    <w:p w14:paraId="42742F5B" w14:textId="77777777" w:rsidR="00CD50AD" w:rsidRDefault="00CD50AD" w:rsidP="00CD50AD">
      <w:pPr>
        <w:tabs>
          <w:tab w:val="left" w:pos="660"/>
        </w:tabs>
        <w:spacing w:after="0" w:line="290" w:lineRule="auto"/>
        <w:ind w:right="560"/>
        <w:rPr>
          <w:rFonts w:ascii="Times New Roman" w:hAnsi="Times New Roman"/>
          <w:sz w:val="23"/>
          <w:szCs w:val="23"/>
        </w:rPr>
      </w:pPr>
    </w:p>
    <w:p w14:paraId="7E499B49" w14:textId="77777777" w:rsidR="00CD50AD" w:rsidRDefault="00CD50AD" w:rsidP="00CD50AD">
      <w:pPr>
        <w:tabs>
          <w:tab w:val="left" w:pos="660"/>
        </w:tabs>
        <w:spacing w:after="0" w:line="290" w:lineRule="auto"/>
        <w:ind w:right="560"/>
        <w:rPr>
          <w:rFonts w:ascii="Times New Roman" w:hAnsi="Times New Roman"/>
          <w:sz w:val="23"/>
          <w:szCs w:val="23"/>
        </w:rPr>
      </w:pPr>
    </w:p>
    <w:p w14:paraId="68D72891" w14:textId="77777777" w:rsidR="00CD50AD" w:rsidRDefault="00CD50AD" w:rsidP="00CD50AD">
      <w:pPr>
        <w:tabs>
          <w:tab w:val="left" w:pos="660"/>
        </w:tabs>
        <w:spacing w:after="0" w:line="290" w:lineRule="auto"/>
        <w:ind w:right="560"/>
        <w:rPr>
          <w:rFonts w:ascii="Times New Roman" w:hAnsi="Times New Roman"/>
          <w:sz w:val="23"/>
          <w:szCs w:val="23"/>
        </w:rPr>
      </w:pPr>
    </w:p>
    <w:p w14:paraId="213C35FE" w14:textId="77777777" w:rsidR="00CD50AD" w:rsidRDefault="00CD50AD" w:rsidP="00CD50AD">
      <w:pPr>
        <w:tabs>
          <w:tab w:val="left" w:pos="660"/>
        </w:tabs>
        <w:spacing w:after="0" w:line="290" w:lineRule="auto"/>
        <w:ind w:right="560"/>
        <w:rPr>
          <w:rFonts w:ascii="Times New Roman" w:hAnsi="Times New Roman"/>
          <w:sz w:val="23"/>
          <w:szCs w:val="23"/>
        </w:rPr>
      </w:pPr>
    </w:p>
    <w:p w14:paraId="1DF019A8" w14:textId="77777777" w:rsidR="00CD50AD" w:rsidRDefault="00CD50AD" w:rsidP="00CD50AD">
      <w:pPr>
        <w:tabs>
          <w:tab w:val="left" w:pos="660"/>
        </w:tabs>
        <w:spacing w:after="0" w:line="290" w:lineRule="auto"/>
        <w:ind w:right="560"/>
        <w:rPr>
          <w:rFonts w:ascii="Times New Roman" w:hAnsi="Times New Roman"/>
          <w:sz w:val="23"/>
          <w:szCs w:val="23"/>
        </w:rPr>
      </w:pPr>
    </w:p>
    <w:p w14:paraId="1F150758" w14:textId="77777777" w:rsidR="00CD50AD" w:rsidRDefault="00CD50AD" w:rsidP="00CD50AD">
      <w:pPr>
        <w:tabs>
          <w:tab w:val="left" w:pos="660"/>
        </w:tabs>
        <w:spacing w:after="0" w:line="290" w:lineRule="auto"/>
        <w:ind w:right="560"/>
        <w:rPr>
          <w:rFonts w:ascii="Times New Roman" w:hAnsi="Times New Roman"/>
          <w:sz w:val="23"/>
          <w:szCs w:val="23"/>
        </w:rPr>
      </w:pPr>
    </w:p>
    <w:p w14:paraId="04C76F1F" w14:textId="77777777" w:rsidR="00CD50AD" w:rsidRDefault="00CD50AD" w:rsidP="00CD50AD">
      <w:pPr>
        <w:tabs>
          <w:tab w:val="left" w:pos="660"/>
        </w:tabs>
        <w:spacing w:after="0" w:line="290" w:lineRule="auto"/>
        <w:ind w:right="560"/>
        <w:rPr>
          <w:rFonts w:ascii="Times New Roman" w:hAnsi="Times New Roman"/>
          <w:sz w:val="23"/>
          <w:szCs w:val="23"/>
        </w:rPr>
      </w:pPr>
    </w:p>
    <w:p w14:paraId="71FEBBEB" w14:textId="77777777" w:rsidR="00CD50AD" w:rsidRDefault="00CD50AD" w:rsidP="00CD50AD">
      <w:pPr>
        <w:tabs>
          <w:tab w:val="left" w:pos="660"/>
        </w:tabs>
        <w:spacing w:after="0" w:line="290" w:lineRule="auto"/>
        <w:ind w:right="560"/>
        <w:rPr>
          <w:rFonts w:ascii="Times New Roman" w:hAnsi="Times New Roman"/>
          <w:sz w:val="23"/>
          <w:szCs w:val="23"/>
        </w:rPr>
      </w:pPr>
    </w:p>
    <w:p w14:paraId="547C2766" w14:textId="77777777" w:rsidR="00CD50AD" w:rsidRDefault="00CD50AD" w:rsidP="00CD50AD">
      <w:pPr>
        <w:tabs>
          <w:tab w:val="left" w:pos="660"/>
        </w:tabs>
        <w:spacing w:after="0" w:line="290" w:lineRule="auto"/>
        <w:ind w:right="560"/>
        <w:rPr>
          <w:rFonts w:ascii="Times New Roman" w:hAnsi="Times New Roman"/>
          <w:sz w:val="23"/>
          <w:szCs w:val="23"/>
        </w:rPr>
      </w:pPr>
    </w:p>
    <w:p w14:paraId="3A0045CD" w14:textId="77777777" w:rsidR="00CD50AD" w:rsidRDefault="00CD50AD" w:rsidP="00CD50AD">
      <w:pPr>
        <w:tabs>
          <w:tab w:val="left" w:pos="660"/>
        </w:tabs>
        <w:spacing w:after="0" w:line="290" w:lineRule="auto"/>
        <w:ind w:right="560"/>
        <w:rPr>
          <w:rFonts w:ascii="Times New Roman" w:hAnsi="Times New Roman"/>
          <w:sz w:val="23"/>
          <w:szCs w:val="23"/>
        </w:rPr>
      </w:pPr>
    </w:p>
    <w:p w14:paraId="3782A9D5" w14:textId="77777777" w:rsidR="00CD50AD" w:rsidRDefault="00CD50AD" w:rsidP="00CD50AD">
      <w:pPr>
        <w:tabs>
          <w:tab w:val="left" w:pos="660"/>
        </w:tabs>
        <w:spacing w:after="0" w:line="290" w:lineRule="auto"/>
        <w:ind w:right="560"/>
        <w:rPr>
          <w:rFonts w:ascii="Times New Roman" w:hAnsi="Times New Roman"/>
          <w:sz w:val="23"/>
          <w:szCs w:val="23"/>
        </w:rPr>
      </w:pPr>
    </w:p>
    <w:p w14:paraId="2ABA1A7C" w14:textId="788350BE" w:rsidR="00CD50AD" w:rsidRPr="00CD50AD" w:rsidRDefault="00CD50AD" w:rsidP="00CD50AD">
      <w:pPr>
        <w:tabs>
          <w:tab w:val="left" w:pos="660"/>
        </w:tabs>
        <w:spacing w:after="0" w:line="290" w:lineRule="auto"/>
        <w:ind w:right="560"/>
        <w:rPr>
          <w:rFonts w:ascii="Times New Roman" w:hAnsi="Times New Roman"/>
          <w:sz w:val="23"/>
          <w:szCs w:val="23"/>
        </w:rPr>
      </w:pPr>
    </w:p>
    <w:p w14:paraId="5F78E0C8" w14:textId="1309E175" w:rsidR="00344DBF" w:rsidRPr="00CD50AD" w:rsidRDefault="00344DBF" w:rsidP="00344DBF">
      <w:pPr>
        <w:contextualSpacing/>
        <w:jc w:val="both"/>
        <w:rPr>
          <w:rFonts w:ascii="Times New Roman" w:hAnsi="Times New Roman"/>
          <w:lang w:val="uk-UA"/>
        </w:rPr>
      </w:pPr>
    </w:p>
    <w:p w14:paraId="1134E1BD" w14:textId="77777777" w:rsidR="0095658D" w:rsidRPr="00CD50AD" w:rsidRDefault="0095658D" w:rsidP="00344DBF">
      <w:pPr>
        <w:contextualSpacing/>
        <w:jc w:val="both"/>
        <w:rPr>
          <w:rFonts w:ascii="Times New Roman" w:hAnsi="Times New Roman"/>
          <w:lang w:val="uk-UA"/>
        </w:rPr>
      </w:pPr>
    </w:p>
    <w:p w14:paraId="34C4D93E" w14:textId="77777777" w:rsidR="0095658D" w:rsidRPr="00CD50AD" w:rsidRDefault="0095658D" w:rsidP="00344DBF">
      <w:pPr>
        <w:contextualSpacing/>
        <w:jc w:val="both"/>
        <w:rPr>
          <w:rFonts w:ascii="Times New Roman" w:hAnsi="Times New Roman"/>
          <w:lang w:val="uk-UA"/>
        </w:rPr>
      </w:pPr>
    </w:p>
    <w:p w14:paraId="7ECEE13B" w14:textId="77777777" w:rsidR="0095658D" w:rsidRPr="00CD50AD" w:rsidRDefault="0095658D" w:rsidP="00344DBF">
      <w:pPr>
        <w:contextualSpacing/>
        <w:jc w:val="both"/>
        <w:rPr>
          <w:rFonts w:ascii="Times New Roman" w:hAnsi="Times New Roman"/>
          <w:lang w:val="uk-UA"/>
        </w:rPr>
      </w:pPr>
    </w:p>
    <w:p w14:paraId="61A3A019" w14:textId="77777777" w:rsidR="0095658D" w:rsidRPr="00CD50AD" w:rsidRDefault="0095658D" w:rsidP="00344DBF">
      <w:pPr>
        <w:contextualSpacing/>
        <w:jc w:val="both"/>
        <w:rPr>
          <w:rFonts w:ascii="Times New Roman" w:hAnsi="Times New Roman"/>
          <w:lang w:val="uk-UA"/>
        </w:rPr>
      </w:pPr>
    </w:p>
    <w:p w14:paraId="5D41CF19" w14:textId="77777777" w:rsidR="0095658D" w:rsidRPr="00CD50AD" w:rsidRDefault="0095658D" w:rsidP="00344DBF">
      <w:pPr>
        <w:contextualSpacing/>
        <w:jc w:val="both"/>
        <w:rPr>
          <w:rFonts w:ascii="Times New Roman" w:hAnsi="Times New Roman"/>
          <w:lang w:val="uk-UA"/>
        </w:rPr>
      </w:pPr>
    </w:p>
    <w:p w14:paraId="40B2E120" w14:textId="77777777" w:rsidR="0095658D" w:rsidRPr="00CD50AD" w:rsidRDefault="0095658D" w:rsidP="00344DBF">
      <w:pPr>
        <w:contextualSpacing/>
        <w:jc w:val="both"/>
        <w:rPr>
          <w:rFonts w:ascii="Times New Roman" w:hAnsi="Times New Roman"/>
          <w:lang w:val="uk-UA"/>
        </w:rPr>
      </w:pPr>
    </w:p>
    <w:p w14:paraId="297369CF" w14:textId="60BD7FC8" w:rsidR="0095658D" w:rsidRPr="00CD50AD" w:rsidRDefault="00266FB3" w:rsidP="00344DBF">
      <w:pPr>
        <w:contextualSpacing/>
        <w:jc w:val="both"/>
        <w:rPr>
          <w:rFonts w:ascii="Times New Roman" w:hAnsi="Times New Roman"/>
          <w:lang w:val="uk-UA"/>
        </w:rPr>
      </w:pPr>
      <w:bookmarkStart w:id="1" w:name="_GoBack"/>
      <w:r>
        <w:rPr>
          <w:noProof/>
          <w:sz w:val="20"/>
          <w:szCs w:val="20"/>
        </w:rPr>
        <w:drawing>
          <wp:anchor distT="0" distB="0" distL="114300" distR="114300" simplePos="0" relativeHeight="251696128" behindDoc="1" locked="0" layoutInCell="0" allowOverlap="1" wp14:anchorId="60DC181C" wp14:editId="7695DF0F">
            <wp:simplePos x="0" y="0"/>
            <wp:positionH relativeFrom="page">
              <wp:posOffset>1080135</wp:posOffset>
            </wp:positionH>
            <wp:positionV relativeFrom="page">
              <wp:posOffset>1643380</wp:posOffset>
            </wp:positionV>
            <wp:extent cx="1478915" cy="63449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1478915" cy="6344920"/>
                    </a:xfrm>
                    <a:prstGeom prst="rect">
                      <a:avLst/>
                    </a:prstGeom>
                    <a:noFill/>
                  </pic:spPr>
                </pic:pic>
              </a:graphicData>
            </a:graphic>
          </wp:anchor>
        </w:drawing>
      </w:r>
      <w:bookmarkEnd w:id="1"/>
    </w:p>
    <w:p w14:paraId="4BAEF43A" w14:textId="77777777" w:rsidR="0095658D" w:rsidRPr="00CD50AD" w:rsidRDefault="0095658D" w:rsidP="00344DBF">
      <w:pPr>
        <w:contextualSpacing/>
        <w:jc w:val="both"/>
        <w:rPr>
          <w:rFonts w:ascii="Times New Roman" w:hAnsi="Times New Roman"/>
          <w:lang w:val="uk-UA"/>
        </w:rPr>
      </w:pPr>
    </w:p>
    <w:p w14:paraId="11DC4098" w14:textId="77777777" w:rsidR="0095658D" w:rsidRPr="00CD50AD" w:rsidRDefault="0095658D" w:rsidP="00344DBF">
      <w:pPr>
        <w:contextualSpacing/>
        <w:jc w:val="both"/>
        <w:rPr>
          <w:rFonts w:ascii="Times New Roman" w:hAnsi="Times New Roman"/>
          <w:lang w:val="uk-UA"/>
        </w:rPr>
      </w:pPr>
    </w:p>
    <w:p w14:paraId="49A6D3CC" w14:textId="77777777" w:rsidR="0095658D" w:rsidRPr="00CD50AD" w:rsidRDefault="0095658D" w:rsidP="00344DBF">
      <w:pPr>
        <w:contextualSpacing/>
        <w:jc w:val="both"/>
        <w:rPr>
          <w:rFonts w:ascii="Times New Roman" w:hAnsi="Times New Roman"/>
          <w:lang w:val="uk-UA"/>
        </w:rPr>
      </w:pPr>
    </w:p>
    <w:p w14:paraId="20180504" w14:textId="77777777" w:rsidR="0095658D" w:rsidRPr="00CD50AD" w:rsidRDefault="0095658D" w:rsidP="00344DBF">
      <w:pPr>
        <w:contextualSpacing/>
        <w:jc w:val="both"/>
        <w:rPr>
          <w:rFonts w:ascii="Times New Roman" w:hAnsi="Times New Roman"/>
          <w:lang w:val="uk-UA"/>
        </w:rPr>
      </w:pPr>
    </w:p>
    <w:p w14:paraId="54851E01" w14:textId="77777777" w:rsidR="0095658D" w:rsidRPr="00CD50AD" w:rsidRDefault="0095658D" w:rsidP="00344DBF">
      <w:pPr>
        <w:contextualSpacing/>
        <w:jc w:val="both"/>
        <w:rPr>
          <w:rFonts w:ascii="Times New Roman" w:hAnsi="Times New Roman"/>
          <w:lang w:val="uk-UA"/>
        </w:rPr>
      </w:pPr>
    </w:p>
    <w:p w14:paraId="11DCE502" w14:textId="77777777" w:rsidR="0095658D" w:rsidRPr="00CD50AD" w:rsidRDefault="0095658D" w:rsidP="00344DBF">
      <w:pPr>
        <w:contextualSpacing/>
        <w:jc w:val="both"/>
        <w:rPr>
          <w:rFonts w:ascii="Times New Roman" w:hAnsi="Times New Roman"/>
          <w:lang w:val="uk-UA"/>
        </w:rPr>
      </w:pPr>
    </w:p>
    <w:p w14:paraId="624A2CA1" w14:textId="77777777" w:rsidR="0095658D" w:rsidRPr="00CD50AD" w:rsidRDefault="0095658D" w:rsidP="00344DBF">
      <w:pPr>
        <w:contextualSpacing/>
        <w:jc w:val="both"/>
        <w:rPr>
          <w:rFonts w:ascii="Times New Roman" w:hAnsi="Times New Roman"/>
          <w:lang w:val="uk-UA"/>
        </w:rPr>
      </w:pPr>
    </w:p>
    <w:p w14:paraId="529F1173" w14:textId="77777777" w:rsidR="0095658D" w:rsidRPr="00CD50AD" w:rsidRDefault="0095658D" w:rsidP="00344DBF">
      <w:pPr>
        <w:contextualSpacing/>
        <w:jc w:val="both"/>
        <w:rPr>
          <w:rFonts w:ascii="Times New Roman" w:hAnsi="Times New Roman"/>
          <w:lang w:val="uk-UA"/>
        </w:rPr>
      </w:pPr>
    </w:p>
    <w:p w14:paraId="3B6D575F" w14:textId="77777777" w:rsidR="0095658D" w:rsidRPr="00CD50AD" w:rsidRDefault="0095658D" w:rsidP="00344DBF">
      <w:pPr>
        <w:contextualSpacing/>
        <w:jc w:val="both"/>
        <w:rPr>
          <w:rFonts w:ascii="Times New Roman" w:hAnsi="Times New Roman"/>
          <w:lang w:val="uk-UA"/>
        </w:rPr>
      </w:pPr>
    </w:p>
    <w:p w14:paraId="6CBDB53F" w14:textId="77777777" w:rsidR="0095658D" w:rsidRPr="00CD50AD" w:rsidRDefault="0095658D" w:rsidP="00344DBF">
      <w:pPr>
        <w:contextualSpacing/>
        <w:jc w:val="both"/>
        <w:rPr>
          <w:rFonts w:ascii="Times New Roman" w:hAnsi="Times New Roman"/>
          <w:lang w:val="uk-UA"/>
        </w:rPr>
      </w:pPr>
    </w:p>
    <w:p w14:paraId="44DF14A4" w14:textId="77777777" w:rsidR="0095658D" w:rsidRPr="00CD50AD" w:rsidRDefault="0095658D" w:rsidP="00344DBF">
      <w:pPr>
        <w:contextualSpacing/>
        <w:jc w:val="both"/>
        <w:rPr>
          <w:rFonts w:ascii="Times New Roman" w:hAnsi="Times New Roman"/>
          <w:lang w:val="uk-UA"/>
        </w:rPr>
      </w:pPr>
    </w:p>
    <w:p w14:paraId="3D27C101" w14:textId="77777777" w:rsidR="0095658D" w:rsidRDefault="0095658D" w:rsidP="00344DBF">
      <w:pPr>
        <w:contextualSpacing/>
        <w:jc w:val="both"/>
        <w:rPr>
          <w:rFonts w:ascii="Times New Roman" w:hAnsi="Times New Roman"/>
          <w:lang w:val="uk-UA"/>
        </w:rPr>
      </w:pPr>
    </w:p>
    <w:p w14:paraId="39240CA5" w14:textId="77777777" w:rsidR="0095658D" w:rsidRDefault="0095658D" w:rsidP="00344DBF">
      <w:pPr>
        <w:contextualSpacing/>
        <w:jc w:val="both"/>
        <w:rPr>
          <w:rFonts w:ascii="Times New Roman" w:hAnsi="Times New Roman"/>
          <w:lang w:val="uk-UA"/>
        </w:rPr>
      </w:pPr>
    </w:p>
    <w:p w14:paraId="3705E225" w14:textId="77777777" w:rsidR="0095658D" w:rsidRDefault="0095658D" w:rsidP="00344DBF">
      <w:pPr>
        <w:contextualSpacing/>
        <w:jc w:val="both"/>
        <w:rPr>
          <w:rFonts w:ascii="Times New Roman" w:hAnsi="Times New Roman"/>
          <w:lang w:val="uk-UA"/>
        </w:rPr>
      </w:pPr>
    </w:p>
    <w:p w14:paraId="53AD30CE" w14:textId="5F2B83F0" w:rsidR="0095658D" w:rsidRPr="00344DBF" w:rsidRDefault="0095658D" w:rsidP="00344DBF">
      <w:pPr>
        <w:contextualSpacing/>
        <w:jc w:val="both"/>
        <w:rPr>
          <w:rFonts w:ascii="Times New Roman" w:hAnsi="Times New Roman"/>
          <w:lang w:val="uk-UA"/>
        </w:rPr>
      </w:pPr>
    </w:p>
    <w:sectPr w:rsidR="0095658D" w:rsidRPr="00344DBF" w:rsidSect="00CD50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352B" w14:textId="77777777" w:rsidR="00C54374" w:rsidRDefault="00C54374" w:rsidP="0014339A">
      <w:pPr>
        <w:spacing w:after="0" w:line="240" w:lineRule="auto"/>
      </w:pPr>
      <w:r>
        <w:separator/>
      </w:r>
    </w:p>
  </w:endnote>
  <w:endnote w:type="continuationSeparator" w:id="0">
    <w:p w14:paraId="62B144AF" w14:textId="77777777" w:rsidR="00C54374" w:rsidRDefault="00C54374" w:rsidP="0014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D3CD" w14:textId="77777777" w:rsidR="00344DBF" w:rsidRDefault="00344DBF" w:rsidP="001D12B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6862F20" w14:textId="77777777" w:rsidR="00344DBF" w:rsidRDefault="00344DBF" w:rsidP="00A60AE1">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5B8E" w14:textId="77777777" w:rsidR="00344DBF" w:rsidRDefault="00344DBF" w:rsidP="001D12B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66FB3">
      <w:rPr>
        <w:rStyle w:val="ac"/>
        <w:noProof/>
      </w:rPr>
      <w:t>44</w:t>
    </w:r>
    <w:r>
      <w:rPr>
        <w:rStyle w:val="ac"/>
      </w:rPr>
      <w:fldChar w:fldCharType="end"/>
    </w:r>
  </w:p>
  <w:p w14:paraId="0FF83E97" w14:textId="77777777" w:rsidR="00344DBF" w:rsidRPr="004C5B22" w:rsidRDefault="00344DBF" w:rsidP="00A60AE1">
    <w:pPr>
      <w:pStyle w:val="aa"/>
      <w:ind w:right="360"/>
      <w:jc w:val="right"/>
      <w:rPr>
        <w:lang w:val="uk-UA"/>
      </w:rPr>
    </w:pPr>
  </w:p>
  <w:p w14:paraId="4185DED4" w14:textId="77777777" w:rsidR="00344DBF" w:rsidRDefault="00344DBF">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FEE61" w14:textId="77777777" w:rsidR="00C54374" w:rsidRDefault="00C54374" w:rsidP="0014339A">
      <w:pPr>
        <w:spacing w:after="0" w:line="240" w:lineRule="auto"/>
      </w:pPr>
      <w:r>
        <w:separator/>
      </w:r>
    </w:p>
  </w:footnote>
  <w:footnote w:type="continuationSeparator" w:id="0">
    <w:p w14:paraId="6AB585F0" w14:textId="77777777" w:rsidR="00C54374" w:rsidRDefault="00C54374" w:rsidP="001433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B15E"/>
    <w:multiLevelType w:val="hybridMultilevel"/>
    <w:tmpl w:val="CD6E7B12"/>
    <w:lvl w:ilvl="0" w:tplc="F5F09D68">
      <w:start w:val="2"/>
      <w:numFmt w:val="decimal"/>
      <w:lvlText w:val="%1."/>
      <w:lvlJc w:val="left"/>
    </w:lvl>
    <w:lvl w:ilvl="1" w:tplc="3C6C8406">
      <w:numFmt w:val="decimal"/>
      <w:lvlText w:val=""/>
      <w:lvlJc w:val="left"/>
    </w:lvl>
    <w:lvl w:ilvl="2" w:tplc="4122217E">
      <w:numFmt w:val="decimal"/>
      <w:lvlText w:val=""/>
      <w:lvlJc w:val="left"/>
    </w:lvl>
    <w:lvl w:ilvl="3" w:tplc="6178BFA4">
      <w:numFmt w:val="decimal"/>
      <w:lvlText w:val=""/>
      <w:lvlJc w:val="left"/>
    </w:lvl>
    <w:lvl w:ilvl="4" w:tplc="83A8598C">
      <w:numFmt w:val="decimal"/>
      <w:lvlText w:val=""/>
      <w:lvlJc w:val="left"/>
    </w:lvl>
    <w:lvl w:ilvl="5" w:tplc="BC78D846">
      <w:numFmt w:val="decimal"/>
      <w:lvlText w:val=""/>
      <w:lvlJc w:val="left"/>
    </w:lvl>
    <w:lvl w:ilvl="6" w:tplc="B61027C0">
      <w:numFmt w:val="decimal"/>
      <w:lvlText w:val=""/>
      <w:lvlJc w:val="left"/>
    </w:lvl>
    <w:lvl w:ilvl="7" w:tplc="76E47BDA">
      <w:numFmt w:val="decimal"/>
      <w:lvlText w:val=""/>
      <w:lvlJc w:val="left"/>
    </w:lvl>
    <w:lvl w:ilvl="8" w:tplc="CD4ECD0E">
      <w:numFmt w:val="decimal"/>
      <w:lvlText w:val=""/>
      <w:lvlJc w:val="left"/>
    </w:lvl>
  </w:abstractNum>
  <w:abstractNum w:abstractNumId="1">
    <w:nsid w:val="0A0382C5"/>
    <w:multiLevelType w:val="hybridMultilevel"/>
    <w:tmpl w:val="3040928C"/>
    <w:lvl w:ilvl="0" w:tplc="9F7E1436">
      <w:start w:val="1"/>
      <w:numFmt w:val="decimal"/>
      <w:lvlText w:val="%1."/>
      <w:lvlJc w:val="left"/>
    </w:lvl>
    <w:lvl w:ilvl="1" w:tplc="C896C5D2">
      <w:start w:val="1"/>
      <w:numFmt w:val="bullet"/>
      <w:lvlText w:val="в"/>
      <w:lvlJc w:val="left"/>
    </w:lvl>
    <w:lvl w:ilvl="2" w:tplc="C4EAE22E">
      <w:numFmt w:val="decimal"/>
      <w:lvlText w:val=""/>
      <w:lvlJc w:val="left"/>
    </w:lvl>
    <w:lvl w:ilvl="3" w:tplc="992CA9F6">
      <w:numFmt w:val="decimal"/>
      <w:lvlText w:val=""/>
      <w:lvlJc w:val="left"/>
    </w:lvl>
    <w:lvl w:ilvl="4" w:tplc="F5BAA1F2">
      <w:numFmt w:val="decimal"/>
      <w:lvlText w:val=""/>
      <w:lvlJc w:val="left"/>
    </w:lvl>
    <w:lvl w:ilvl="5" w:tplc="67EE8572">
      <w:numFmt w:val="decimal"/>
      <w:lvlText w:val=""/>
      <w:lvlJc w:val="left"/>
    </w:lvl>
    <w:lvl w:ilvl="6" w:tplc="E9421466">
      <w:numFmt w:val="decimal"/>
      <w:lvlText w:val=""/>
      <w:lvlJc w:val="left"/>
    </w:lvl>
    <w:lvl w:ilvl="7" w:tplc="E8DCC62C">
      <w:numFmt w:val="decimal"/>
      <w:lvlText w:val=""/>
      <w:lvlJc w:val="left"/>
    </w:lvl>
    <w:lvl w:ilvl="8" w:tplc="14CE6CA0">
      <w:numFmt w:val="decimal"/>
      <w:lvlText w:val=""/>
      <w:lvlJc w:val="left"/>
    </w:lvl>
  </w:abstractNum>
  <w:abstractNum w:abstractNumId="2">
    <w:nsid w:val="0CEA13F3"/>
    <w:multiLevelType w:val="hybridMultilevel"/>
    <w:tmpl w:val="9528A35E"/>
    <w:lvl w:ilvl="0" w:tplc="04190019">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447B73"/>
    <w:multiLevelType w:val="hybridMultilevel"/>
    <w:tmpl w:val="AE3252F2"/>
    <w:lvl w:ilvl="0" w:tplc="A504F5D4">
      <w:start w:val="1"/>
      <w:numFmt w:val="bullet"/>
      <w:lvlText w:val="б"/>
      <w:lvlJc w:val="left"/>
    </w:lvl>
    <w:lvl w:ilvl="1" w:tplc="6BDA1976">
      <w:numFmt w:val="decimal"/>
      <w:lvlText w:val=""/>
      <w:lvlJc w:val="left"/>
    </w:lvl>
    <w:lvl w:ilvl="2" w:tplc="07302E72">
      <w:numFmt w:val="decimal"/>
      <w:lvlText w:val=""/>
      <w:lvlJc w:val="left"/>
    </w:lvl>
    <w:lvl w:ilvl="3" w:tplc="3B86D69C">
      <w:numFmt w:val="decimal"/>
      <w:lvlText w:val=""/>
      <w:lvlJc w:val="left"/>
    </w:lvl>
    <w:lvl w:ilvl="4" w:tplc="A72AA614">
      <w:numFmt w:val="decimal"/>
      <w:lvlText w:val=""/>
      <w:lvlJc w:val="left"/>
    </w:lvl>
    <w:lvl w:ilvl="5" w:tplc="C8A4E862">
      <w:numFmt w:val="decimal"/>
      <w:lvlText w:val=""/>
      <w:lvlJc w:val="left"/>
    </w:lvl>
    <w:lvl w:ilvl="6" w:tplc="AD96E6A8">
      <w:numFmt w:val="decimal"/>
      <w:lvlText w:val=""/>
      <w:lvlJc w:val="left"/>
    </w:lvl>
    <w:lvl w:ilvl="7" w:tplc="6A1C2A58">
      <w:numFmt w:val="decimal"/>
      <w:lvlText w:val=""/>
      <w:lvlJc w:val="left"/>
    </w:lvl>
    <w:lvl w:ilvl="8" w:tplc="E258C636">
      <w:numFmt w:val="decimal"/>
      <w:lvlText w:val=""/>
      <w:lvlJc w:val="left"/>
    </w:lvl>
  </w:abstractNum>
  <w:abstractNum w:abstractNumId="4">
    <w:nsid w:val="17780377"/>
    <w:multiLevelType w:val="hybridMultilevel"/>
    <w:tmpl w:val="42BE0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C6C86"/>
    <w:multiLevelType w:val="hybridMultilevel"/>
    <w:tmpl w:val="993E8FB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32234B"/>
    <w:multiLevelType w:val="hybridMultilevel"/>
    <w:tmpl w:val="12F23CD8"/>
    <w:lvl w:ilvl="0" w:tplc="B992D024">
      <w:start w:val="1"/>
      <w:numFmt w:val="decimal"/>
      <w:lvlText w:val="%1."/>
      <w:lvlJc w:val="left"/>
    </w:lvl>
    <w:lvl w:ilvl="1" w:tplc="AFE0A430">
      <w:numFmt w:val="decimal"/>
      <w:lvlText w:val=""/>
      <w:lvlJc w:val="left"/>
    </w:lvl>
    <w:lvl w:ilvl="2" w:tplc="5F34D8C2">
      <w:numFmt w:val="decimal"/>
      <w:lvlText w:val=""/>
      <w:lvlJc w:val="left"/>
    </w:lvl>
    <w:lvl w:ilvl="3" w:tplc="24FAEB80">
      <w:numFmt w:val="decimal"/>
      <w:lvlText w:val=""/>
      <w:lvlJc w:val="left"/>
    </w:lvl>
    <w:lvl w:ilvl="4" w:tplc="4AF053DC">
      <w:numFmt w:val="decimal"/>
      <w:lvlText w:val=""/>
      <w:lvlJc w:val="left"/>
    </w:lvl>
    <w:lvl w:ilvl="5" w:tplc="B72456FC">
      <w:numFmt w:val="decimal"/>
      <w:lvlText w:val=""/>
      <w:lvlJc w:val="left"/>
    </w:lvl>
    <w:lvl w:ilvl="6" w:tplc="5E6000FE">
      <w:numFmt w:val="decimal"/>
      <w:lvlText w:val=""/>
      <w:lvlJc w:val="left"/>
    </w:lvl>
    <w:lvl w:ilvl="7" w:tplc="59184C94">
      <w:numFmt w:val="decimal"/>
      <w:lvlText w:val=""/>
      <w:lvlJc w:val="left"/>
    </w:lvl>
    <w:lvl w:ilvl="8" w:tplc="400431DC">
      <w:numFmt w:val="decimal"/>
      <w:lvlText w:val=""/>
      <w:lvlJc w:val="left"/>
    </w:lvl>
  </w:abstractNum>
  <w:abstractNum w:abstractNumId="7">
    <w:nsid w:val="1CC140AF"/>
    <w:multiLevelType w:val="hybridMultilevel"/>
    <w:tmpl w:val="B47448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F85FC5"/>
    <w:multiLevelType w:val="hybridMultilevel"/>
    <w:tmpl w:val="4D484AD6"/>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25037C"/>
    <w:multiLevelType w:val="hybridMultilevel"/>
    <w:tmpl w:val="B48C073A"/>
    <w:lvl w:ilvl="0" w:tplc="B5B69348">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7A180F"/>
    <w:multiLevelType w:val="hybridMultilevel"/>
    <w:tmpl w:val="AE9E7D52"/>
    <w:lvl w:ilvl="0" w:tplc="B5B6934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9D36BC"/>
    <w:multiLevelType w:val="hybridMultilevel"/>
    <w:tmpl w:val="D3FE3508"/>
    <w:lvl w:ilvl="0" w:tplc="06C405E8">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2272B"/>
    <w:multiLevelType w:val="hybridMultilevel"/>
    <w:tmpl w:val="977053C4"/>
    <w:lvl w:ilvl="0" w:tplc="5F8E5C3A">
      <w:start w:val="32"/>
      <w:numFmt w:val="decimal"/>
      <w:lvlText w:val="%1"/>
      <w:lvlJc w:val="left"/>
      <w:pPr>
        <w:ind w:left="720" w:hanging="360"/>
      </w:pPr>
      <w:rPr>
        <w:rFonts w:hint="default"/>
        <w:color w:val="FFFF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FD379"/>
    <w:multiLevelType w:val="hybridMultilevel"/>
    <w:tmpl w:val="184205A6"/>
    <w:lvl w:ilvl="0" w:tplc="1E505DD4">
      <w:start w:val="1"/>
      <w:numFmt w:val="bullet"/>
      <w:lvlText w:val="2"/>
      <w:lvlJc w:val="left"/>
    </w:lvl>
    <w:lvl w:ilvl="1" w:tplc="0DD03454">
      <w:numFmt w:val="decimal"/>
      <w:lvlText w:val=""/>
      <w:lvlJc w:val="left"/>
    </w:lvl>
    <w:lvl w:ilvl="2" w:tplc="ECC4DB96">
      <w:numFmt w:val="decimal"/>
      <w:lvlText w:val=""/>
      <w:lvlJc w:val="left"/>
    </w:lvl>
    <w:lvl w:ilvl="3" w:tplc="A934A3F2">
      <w:numFmt w:val="decimal"/>
      <w:lvlText w:val=""/>
      <w:lvlJc w:val="left"/>
    </w:lvl>
    <w:lvl w:ilvl="4" w:tplc="0E345A04">
      <w:numFmt w:val="decimal"/>
      <w:lvlText w:val=""/>
      <w:lvlJc w:val="left"/>
    </w:lvl>
    <w:lvl w:ilvl="5" w:tplc="AC5AA87C">
      <w:numFmt w:val="decimal"/>
      <w:lvlText w:val=""/>
      <w:lvlJc w:val="left"/>
    </w:lvl>
    <w:lvl w:ilvl="6" w:tplc="0C8A5104">
      <w:numFmt w:val="decimal"/>
      <w:lvlText w:val=""/>
      <w:lvlJc w:val="left"/>
    </w:lvl>
    <w:lvl w:ilvl="7" w:tplc="7228D5CA">
      <w:numFmt w:val="decimal"/>
      <w:lvlText w:val=""/>
      <w:lvlJc w:val="left"/>
    </w:lvl>
    <w:lvl w:ilvl="8" w:tplc="5E60F1E8">
      <w:numFmt w:val="decimal"/>
      <w:lvlText w:val=""/>
      <w:lvlJc w:val="left"/>
    </w:lvl>
  </w:abstractNum>
  <w:abstractNum w:abstractNumId="14">
    <w:nsid w:val="3D5A695A"/>
    <w:multiLevelType w:val="hybridMultilevel"/>
    <w:tmpl w:val="D4FA1254"/>
    <w:lvl w:ilvl="0" w:tplc="B5B69348">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633BBD"/>
    <w:multiLevelType w:val="hybridMultilevel"/>
    <w:tmpl w:val="6CE2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63E5A"/>
    <w:multiLevelType w:val="hybridMultilevel"/>
    <w:tmpl w:val="856E6094"/>
    <w:lvl w:ilvl="0" w:tplc="69B6EBD2">
      <w:start w:val="1"/>
      <w:numFmt w:val="bullet"/>
      <w:lvlText w:val="у"/>
      <w:lvlJc w:val="left"/>
    </w:lvl>
    <w:lvl w:ilvl="1" w:tplc="90D25E6E">
      <w:numFmt w:val="decimal"/>
      <w:lvlText w:val=""/>
      <w:lvlJc w:val="left"/>
    </w:lvl>
    <w:lvl w:ilvl="2" w:tplc="3A86822C">
      <w:numFmt w:val="decimal"/>
      <w:lvlText w:val=""/>
      <w:lvlJc w:val="left"/>
    </w:lvl>
    <w:lvl w:ilvl="3" w:tplc="759C6734">
      <w:numFmt w:val="decimal"/>
      <w:lvlText w:val=""/>
      <w:lvlJc w:val="left"/>
    </w:lvl>
    <w:lvl w:ilvl="4" w:tplc="C9C8AB52">
      <w:numFmt w:val="decimal"/>
      <w:lvlText w:val=""/>
      <w:lvlJc w:val="left"/>
    </w:lvl>
    <w:lvl w:ilvl="5" w:tplc="FCD07CF0">
      <w:numFmt w:val="decimal"/>
      <w:lvlText w:val=""/>
      <w:lvlJc w:val="left"/>
    </w:lvl>
    <w:lvl w:ilvl="6" w:tplc="8D9AF162">
      <w:numFmt w:val="decimal"/>
      <w:lvlText w:val=""/>
      <w:lvlJc w:val="left"/>
    </w:lvl>
    <w:lvl w:ilvl="7" w:tplc="E11CAD3C">
      <w:numFmt w:val="decimal"/>
      <w:lvlText w:val=""/>
      <w:lvlJc w:val="left"/>
    </w:lvl>
    <w:lvl w:ilvl="8" w:tplc="4968B130">
      <w:numFmt w:val="decimal"/>
      <w:lvlText w:val=""/>
      <w:lvlJc w:val="left"/>
    </w:lvl>
  </w:abstractNum>
  <w:abstractNum w:abstractNumId="17">
    <w:nsid w:val="4411137C"/>
    <w:multiLevelType w:val="hybridMultilevel"/>
    <w:tmpl w:val="7E366C30"/>
    <w:lvl w:ilvl="0" w:tplc="884AF5CE">
      <w:start w:val="1"/>
      <w:numFmt w:val="lowerRoman"/>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9965D8"/>
    <w:multiLevelType w:val="hybridMultilevel"/>
    <w:tmpl w:val="93D02492"/>
    <w:lvl w:ilvl="0" w:tplc="884AF5CE">
      <w:start w:val="1"/>
      <w:numFmt w:val="low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52A212D"/>
    <w:multiLevelType w:val="hybridMultilevel"/>
    <w:tmpl w:val="2CBC7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E74F16"/>
    <w:multiLevelType w:val="hybridMultilevel"/>
    <w:tmpl w:val="ACF0F90A"/>
    <w:lvl w:ilvl="0" w:tplc="884AF5CE">
      <w:start w:val="1"/>
      <w:numFmt w:val="lowerRoman"/>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CB754CE"/>
    <w:multiLevelType w:val="hybridMultilevel"/>
    <w:tmpl w:val="96E42D4A"/>
    <w:lvl w:ilvl="0" w:tplc="B5B69348">
      <w:start w:val="1"/>
      <w:numFmt w:val="russianLower"/>
      <w:lvlText w:val="%1."/>
      <w:lvlJc w:val="left"/>
      <w:pPr>
        <w:ind w:left="644" w:hanging="360"/>
      </w:pPr>
      <w:rPr>
        <w:rFonts w:hint="default"/>
        <w:sz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217097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A900A2A"/>
    <w:multiLevelType w:val="hybridMultilevel"/>
    <w:tmpl w:val="5A90BA08"/>
    <w:lvl w:ilvl="0" w:tplc="884AF5CE">
      <w:start w:val="1"/>
      <w:numFmt w:val="lowerRoman"/>
      <w:lvlText w:val="%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E2E7B43"/>
    <w:multiLevelType w:val="hybridMultilevel"/>
    <w:tmpl w:val="4A2E31C8"/>
    <w:lvl w:ilvl="0" w:tplc="14541C8A">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8"/>
  </w:num>
  <w:num w:numId="4">
    <w:abstractNumId w:val="18"/>
  </w:num>
  <w:num w:numId="5">
    <w:abstractNumId w:val="19"/>
  </w:num>
  <w:num w:numId="6">
    <w:abstractNumId w:val="24"/>
  </w:num>
  <w:num w:numId="7">
    <w:abstractNumId w:val="7"/>
  </w:num>
  <w:num w:numId="8">
    <w:abstractNumId w:val="14"/>
  </w:num>
  <w:num w:numId="9">
    <w:abstractNumId w:val="10"/>
  </w:num>
  <w:num w:numId="10">
    <w:abstractNumId w:val="9"/>
  </w:num>
  <w:num w:numId="11">
    <w:abstractNumId w:val="2"/>
  </w:num>
  <w:num w:numId="12">
    <w:abstractNumId w:val="15"/>
  </w:num>
  <w:num w:numId="13">
    <w:abstractNumId w:val="11"/>
  </w:num>
  <w:num w:numId="14">
    <w:abstractNumId w:val="4"/>
  </w:num>
  <w:num w:numId="15">
    <w:abstractNumId w:val="17"/>
  </w:num>
  <w:num w:numId="16">
    <w:abstractNumId w:val="20"/>
  </w:num>
  <w:num w:numId="17">
    <w:abstractNumId w:val="23"/>
  </w:num>
  <w:num w:numId="18">
    <w:abstractNumId w:val="12"/>
  </w:num>
  <w:num w:numId="19">
    <w:abstractNumId w:val="22"/>
  </w:num>
  <w:num w:numId="20">
    <w:abstractNumId w:val="3"/>
  </w:num>
  <w:num w:numId="21">
    <w:abstractNumId w:val="16"/>
  </w:num>
  <w:num w:numId="22">
    <w:abstractNumId w:val="1"/>
  </w:num>
  <w:num w:numId="23">
    <w:abstractNumId w:val="0"/>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proofState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7A"/>
    <w:rsid w:val="00000D1A"/>
    <w:rsid w:val="00003493"/>
    <w:rsid w:val="0000407D"/>
    <w:rsid w:val="00005762"/>
    <w:rsid w:val="00006C1C"/>
    <w:rsid w:val="00006C7A"/>
    <w:rsid w:val="000073E9"/>
    <w:rsid w:val="00013403"/>
    <w:rsid w:val="00013FDF"/>
    <w:rsid w:val="000140F4"/>
    <w:rsid w:val="000149A1"/>
    <w:rsid w:val="00015848"/>
    <w:rsid w:val="000168B2"/>
    <w:rsid w:val="00022C75"/>
    <w:rsid w:val="0002427E"/>
    <w:rsid w:val="00024AB1"/>
    <w:rsid w:val="00024F26"/>
    <w:rsid w:val="00026B27"/>
    <w:rsid w:val="00026EAB"/>
    <w:rsid w:val="000308F2"/>
    <w:rsid w:val="00031EE7"/>
    <w:rsid w:val="000326B3"/>
    <w:rsid w:val="00034986"/>
    <w:rsid w:val="0003626C"/>
    <w:rsid w:val="000401D0"/>
    <w:rsid w:val="00041187"/>
    <w:rsid w:val="00044243"/>
    <w:rsid w:val="00047884"/>
    <w:rsid w:val="0005095C"/>
    <w:rsid w:val="000543E6"/>
    <w:rsid w:val="000545A7"/>
    <w:rsid w:val="00054947"/>
    <w:rsid w:val="00055DBA"/>
    <w:rsid w:val="00056484"/>
    <w:rsid w:val="00056F86"/>
    <w:rsid w:val="00057666"/>
    <w:rsid w:val="00061E78"/>
    <w:rsid w:val="00062274"/>
    <w:rsid w:val="00063EE4"/>
    <w:rsid w:val="00064D58"/>
    <w:rsid w:val="0006502C"/>
    <w:rsid w:val="000657C9"/>
    <w:rsid w:val="000669A5"/>
    <w:rsid w:val="00070DEE"/>
    <w:rsid w:val="00071737"/>
    <w:rsid w:val="00071AEF"/>
    <w:rsid w:val="00072458"/>
    <w:rsid w:val="00075867"/>
    <w:rsid w:val="00075AF6"/>
    <w:rsid w:val="000805B8"/>
    <w:rsid w:val="0008357F"/>
    <w:rsid w:val="0008718D"/>
    <w:rsid w:val="00092EC7"/>
    <w:rsid w:val="000944A4"/>
    <w:rsid w:val="00095F4F"/>
    <w:rsid w:val="000962E8"/>
    <w:rsid w:val="00096E6A"/>
    <w:rsid w:val="000A5643"/>
    <w:rsid w:val="000A7C1B"/>
    <w:rsid w:val="000B00D9"/>
    <w:rsid w:val="000B20F2"/>
    <w:rsid w:val="000B40B2"/>
    <w:rsid w:val="000B4280"/>
    <w:rsid w:val="000B660C"/>
    <w:rsid w:val="000C00A2"/>
    <w:rsid w:val="000C0116"/>
    <w:rsid w:val="000C28DE"/>
    <w:rsid w:val="000C3331"/>
    <w:rsid w:val="000C3A63"/>
    <w:rsid w:val="000C459A"/>
    <w:rsid w:val="000C6DAF"/>
    <w:rsid w:val="000D19C7"/>
    <w:rsid w:val="000D1A67"/>
    <w:rsid w:val="000E13A5"/>
    <w:rsid w:val="000E1C58"/>
    <w:rsid w:val="000E1D17"/>
    <w:rsid w:val="000E2459"/>
    <w:rsid w:val="000F082D"/>
    <w:rsid w:val="000F13F1"/>
    <w:rsid w:val="000F37B2"/>
    <w:rsid w:val="000F7574"/>
    <w:rsid w:val="00101A59"/>
    <w:rsid w:val="00104930"/>
    <w:rsid w:val="0010650E"/>
    <w:rsid w:val="00111086"/>
    <w:rsid w:val="0011456E"/>
    <w:rsid w:val="00116758"/>
    <w:rsid w:val="00116801"/>
    <w:rsid w:val="00122357"/>
    <w:rsid w:val="00124A69"/>
    <w:rsid w:val="00125007"/>
    <w:rsid w:val="00132CD4"/>
    <w:rsid w:val="00132D68"/>
    <w:rsid w:val="0013308B"/>
    <w:rsid w:val="001342C3"/>
    <w:rsid w:val="00137350"/>
    <w:rsid w:val="00137728"/>
    <w:rsid w:val="00140AC2"/>
    <w:rsid w:val="0014339A"/>
    <w:rsid w:val="00144190"/>
    <w:rsid w:val="00144DDD"/>
    <w:rsid w:val="00147010"/>
    <w:rsid w:val="001470F1"/>
    <w:rsid w:val="0014789E"/>
    <w:rsid w:val="001500A1"/>
    <w:rsid w:val="00154749"/>
    <w:rsid w:val="001551CC"/>
    <w:rsid w:val="001554A5"/>
    <w:rsid w:val="00157A7D"/>
    <w:rsid w:val="0016060F"/>
    <w:rsid w:val="001608E6"/>
    <w:rsid w:val="00161955"/>
    <w:rsid w:val="00162777"/>
    <w:rsid w:val="0016293D"/>
    <w:rsid w:val="001635BD"/>
    <w:rsid w:val="001636FF"/>
    <w:rsid w:val="00163A60"/>
    <w:rsid w:val="001673A3"/>
    <w:rsid w:val="001677CB"/>
    <w:rsid w:val="00167FB0"/>
    <w:rsid w:val="00170AF7"/>
    <w:rsid w:val="00172CBC"/>
    <w:rsid w:val="001732DF"/>
    <w:rsid w:val="001738D5"/>
    <w:rsid w:val="0017399F"/>
    <w:rsid w:val="00174A3C"/>
    <w:rsid w:val="00174DE8"/>
    <w:rsid w:val="00175205"/>
    <w:rsid w:val="001760FA"/>
    <w:rsid w:val="001818B9"/>
    <w:rsid w:val="00183A2E"/>
    <w:rsid w:val="001863C2"/>
    <w:rsid w:val="00187EB7"/>
    <w:rsid w:val="00190878"/>
    <w:rsid w:val="0019210C"/>
    <w:rsid w:val="00192763"/>
    <w:rsid w:val="001936ED"/>
    <w:rsid w:val="00195008"/>
    <w:rsid w:val="00196D51"/>
    <w:rsid w:val="001A0A0D"/>
    <w:rsid w:val="001A16C5"/>
    <w:rsid w:val="001A5C21"/>
    <w:rsid w:val="001B3622"/>
    <w:rsid w:val="001B5D7F"/>
    <w:rsid w:val="001C0856"/>
    <w:rsid w:val="001C46D5"/>
    <w:rsid w:val="001C548E"/>
    <w:rsid w:val="001C54B3"/>
    <w:rsid w:val="001C5EFA"/>
    <w:rsid w:val="001C7344"/>
    <w:rsid w:val="001D12BC"/>
    <w:rsid w:val="001D3BBE"/>
    <w:rsid w:val="001D49CA"/>
    <w:rsid w:val="001D6563"/>
    <w:rsid w:val="001E1A83"/>
    <w:rsid w:val="001E2F0B"/>
    <w:rsid w:val="001E5639"/>
    <w:rsid w:val="001F2BB6"/>
    <w:rsid w:val="001F7657"/>
    <w:rsid w:val="001F7C57"/>
    <w:rsid w:val="00203408"/>
    <w:rsid w:val="002038BF"/>
    <w:rsid w:val="00203BE2"/>
    <w:rsid w:val="00207897"/>
    <w:rsid w:val="002125A5"/>
    <w:rsid w:val="0021268F"/>
    <w:rsid w:val="00212A85"/>
    <w:rsid w:val="00213831"/>
    <w:rsid w:val="002139F8"/>
    <w:rsid w:val="00215C5C"/>
    <w:rsid w:val="00222C4F"/>
    <w:rsid w:val="0022317F"/>
    <w:rsid w:val="00226DD7"/>
    <w:rsid w:val="00227A8A"/>
    <w:rsid w:val="00227B40"/>
    <w:rsid w:val="0023013B"/>
    <w:rsid w:val="00230D66"/>
    <w:rsid w:val="002347C6"/>
    <w:rsid w:val="00236C61"/>
    <w:rsid w:val="00237F77"/>
    <w:rsid w:val="0024032A"/>
    <w:rsid w:val="00243BFF"/>
    <w:rsid w:val="0024479C"/>
    <w:rsid w:val="002454B5"/>
    <w:rsid w:val="00246A3F"/>
    <w:rsid w:val="00247A7C"/>
    <w:rsid w:val="00250473"/>
    <w:rsid w:val="0025313C"/>
    <w:rsid w:val="00255826"/>
    <w:rsid w:val="00260B20"/>
    <w:rsid w:val="0026199F"/>
    <w:rsid w:val="00262752"/>
    <w:rsid w:val="00262B30"/>
    <w:rsid w:val="002634C1"/>
    <w:rsid w:val="00266A05"/>
    <w:rsid w:val="00266FB3"/>
    <w:rsid w:val="00275813"/>
    <w:rsid w:val="00275DF0"/>
    <w:rsid w:val="0028211E"/>
    <w:rsid w:val="00283AE5"/>
    <w:rsid w:val="00283D80"/>
    <w:rsid w:val="00284BF4"/>
    <w:rsid w:val="002902C9"/>
    <w:rsid w:val="002905B2"/>
    <w:rsid w:val="002906D9"/>
    <w:rsid w:val="0029203F"/>
    <w:rsid w:val="002934DE"/>
    <w:rsid w:val="00296512"/>
    <w:rsid w:val="002A0140"/>
    <w:rsid w:val="002A401A"/>
    <w:rsid w:val="002A45C8"/>
    <w:rsid w:val="002A4A76"/>
    <w:rsid w:val="002B09EC"/>
    <w:rsid w:val="002B24AD"/>
    <w:rsid w:val="002C1A35"/>
    <w:rsid w:val="002C1DC9"/>
    <w:rsid w:val="002C608A"/>
    <w:rsid w:val="002D1433"/>
    <w:rsid w:val="002D30D3"/>
    <w:rsid w:val="002D3AD2"/>
    <w:rsid w:val="002D674C"/>
    <w:rsid w:val="002E0764"/>
    <w:rsid w:val="002E08BE"/>
    <w:rsid w:val="002E2178"/>
    <w:rsid w:val="002E7AEF"/>
    <w:rsid w:val="002F00BA"/>
    <w:rsid w:val="002F0B4C"/>
    <w:rsid w:val="002F125C"/>
    <w:rsid w:val="00301482"/>
    <w:rsid w:val="003019A8"/>
    <w:rsid w:val="00303DEC"/>
    <w:rsid w:val="00306AD6"/>
    <w:rsid w:val="00307864"/>
    <w:rsid w:val="00315F42"/>
    <w:rsid w:val="003176F9"/>
    <w:rsid w:val="00320329"/>
    <w:rsid w:val="003205C9"/>
    <w:rsid w:val="003229B4"/>
    <w:rsid w:val="00324CB2"/>
    <w:rsid w:val="003265B1"/>
    <w:rsid w:val="00330309"/>
    <w:rsid w:val="0033049D"/>
    <w:rsid w:val="00330789"/>
    <w:rsid w:val="00331AB5"/>
    <w:rsid w:val="00331B56"/>
    <w:rsid w:val="00332899"/>
    <w:rsid w:val="00332B09"/>
    <w:rsid w:val="003335B4"/>
    <w:rsid w:val="00335C4C"/>
    <w:rsid w:val="00335D37"/>
    <w:rsid w:val="00336F7C"/>
    <w:rsid w:val="00337569"/>
    <w:rsid w:val="00340D33"/>
    <w:rsid w:val="00343F7F"/>
    <w:rsid w:val="00344DBF"/>
    <w:rsid w:val="003454A7"/>
    <w:rsid w:val="00347B8D"/>
    <w:rsid w:val="00347C70"/>
    <w:rsid w:val="00347DC2"/>
    <w:rsid w:val="003500EA"/>
    <w:rsid w:val="00350177"/>
    <w:rsid w:val="00354F1B"/>
    <w:rsid w:val="00360DA2"/>
    <w:rsid w:val="003707BF"/>
    <w:rsid w:val="00371565"/>
    <w:rsid w:val="00372FF5"/>
    <w:rsid w:val="003767F4"/>
    <w:rsid w:val="0037724F"/>
    <w:rsid w:val="00377C87"/>
    <w:rsid w:val="00381F0D"/>
    <w:rsid w:val="00383D4C"/>
    <w:rsid w:val="0038409B"/>
    <w:rsid w:val="00386451"/>
    <w:rsid w:val="00386F47"/>
    <w:rsid w:val="00386FC8"/>
    <w:rsid w:val="003874CD"/>
    <w:rsid w:val="0039096C"/>
    <w:rsid w:val="00391293"/>
    <w:rsid w:val="0039136D"/>
    <w:rsid w:val="00393CCC"/>
    <w:rsid w:val="00393E8E"/>
    <w:rsid w:val="00394576"/>
    <w:rsid w:val="003A1667"/>
    <w:rsid w:val="003A2BAF"/>
    <w:rsid w:val="003B32EF"/>
    <w:rsid w:val="003B6722"/>
    <w:rsid w:val="003C00C2"/>
    <w:rsid w:val="003C0DCB"/>
    <w:rsid w:val="003C1249"/>
    <w:rsid w:val="003C1FF4"/>
    <w:rsid w:val="003C5A97"/>
    <w:rsid w:val="003C66D9"/>
    <w:rsid w:val="003C6AD6"/>
    <w:rsid w:val="003C6D9A"/>
    <w:rsid w:val="003C7DB3"/>
    <w:rsid w:val="003D02C3"/>
    <w:rsid w:val="003D4BED"/>
    <w:rsid w:val="003D4E7B"/>
    <w:rsid w:val="003E2626"/>
    <w:rsid w:val="003E6CFC"/>
    <w:rsid w:val="003F0C5C"/>
    <w:rsid w:val="003F653A"/>
    <w:rsid w:val="00401FF2"/>
    <w:rsid w:val="00404246"/>
    <w:rsid w:val="00404515"/>
    <w:rsid w:val="004053B1"/>
    <w:rsid w:val="004067A6"/>
    <w:rsid w:val="00410EEF"/>
    <w:rsid w:val="004131B9"/>
    <w:rsid w:val="004131F0"/>
    <w:rsid w:val="00413583"/>
    <w:rsid w:val="00413CDA"/>
    <w:rsid w:val="004161C9"/>
    <w:rsid w:val="00416596"/>
    <w:rsid w:val="0042080C"/>
    <w:rsid w:val="00420EEF"/>
    <w:rsid w:val="004247BA"/>
    <w:rsid w:val="004262B3"/>
    <w:rsid w:val="00430F4D"/>
    <w:rsid w:val="00433048"/>
    <w:rsid w:val="00441A3F"/>
    <w:rsid w:val="0044742E"/>
    <w:rsid w:val="00447616"/>
    <w:rsid w:val="00447940"/>
    <w:rsid w:val="00451CFD"/>
    <w:rsid w:val="00452421"/>
    <w:rsid w:val="0045426E"/>
    <w:rsid w:val="0045582A"/>
    <w:rsid w:val="004559FF"/>
    <w:rsid w:val="0046005D"/>
    <w:rsid w:val="004617F5"/>
    <w:rsid w:val="00464441"/>
    <w:rsid w:val="00481975"/>
    <w:rsid w:val="00481E66"/>
    <w:rsid w:val="00483F29"/>
    <w:rsid w:val="00487713"/>
    <w:rsid w:val="00490E00"/>
    <w:rsid w:val="00492AD5"/>
    <w:rsid w:val="0049408A"/>
    <w:rsid w:val="00494B07"/>
    <w:rsid w:val="00495B62"/>
    <w:rsid w:val="004964E0"/>
    <w:rsid w:val="00497A31"/>
    <w:rsid w:val="004A3F0F"/>
    <w:rsid w:val="004A464A"/>
    <w:rsid w:val="004A5D37"/>
    <w:rsid w:val="004A6EDB"/>
    <w:rsid w:val="004A7875"/>
    <w:rsid w:val="004B54C4"/>
    <w:rsid w:val="004B5B66"/>
    <w:rsid w:val="004C1D9D"/>
    <w:rsid w:val="004C4B9C"/>
    <w:rsid w:val="004C50FD"/>
    <w:rsid w:val="004C5418"/>
    <w:rsid w:val="004C5B22"/>
    <w:rsid w:val="004D090B"/>
    <w:rsid w:val="004D4657"/>
    <w:rsid w:val="004D4CA8"/>
    <w:rsid w:val="004E0040"/>
    <w:rsid w:val="004E1929"/>
    <w:rsid w:val="004F0788"/>
    <w:rsid w:val="004F311B"/>
    <w:rsid w:val="0050005D"/>
    <w:rsid w:val="00502A7D"/>
    <w:rsid w:val="005064DC"/>
    <w:rsid w:val="00506777"/>
    <w:rsid w:val="00511D5F"/>
    <w:rsid w:val="00512B7C"/>
    <w:rsid w:val="00516971"/>
    <w:rsid w:val="00520B43"/>
    <w:rsid w:val="00527611"/>
    <w:rsid w:val="00531E01"/>
    <w:rsid w:val="00533F86"/>
    <w:rsid w:val="00540ECA"/>
    <w:rsid w:val="005412C2"/>
    <w:rsid w:val="00542DAB"/>
    <w:rsid w:val="0054435A"/>
    <w:rsid w:val="0054765F"/>
    <w:rsid w:val="00550D73"/>
    <w:rsid w:val="00554A21"/>
    <w:rsid w:val="00555255"/>
    <w:rsid w:val="00560081"/>
    <w:rsid w:val="00561C8C"/>
    <w:rsid w:val="00561D7F"/>
    <w:rsid w:val="00561ECC"/>
    <w:rsid w:val="00563BB0"/>
    <w:rsid w:val="00564451"/>
    <w:rsid w:val="00570F4D"/>
    <w:rsid w:val="005755C2"/>
    <w:rsid w:val="00576037"/>
    <w:rsid w:val="0057709D"/>
    <w:rsid w:val="00577A01"/>
    <w:rsid w:val="00581A98"/>
    <w:rsid w:val="00582472"/>
    <w:rsid w:val="0058301D"/>
    <w:rsid w:val="00584D97"/>
    <w:rsid w:val="00591448"/>
    <w:rsid w:val="00591913"/>
    <w:rsid w:val="00592039"/>
    <w:rsid w:val="00596301"/>
    <w:rsid w:val="005976E5"/>
    <w:rsid w:val="005A0E34"/>
    <w:rsid w:val="005A2026"/>
    <w:rsid w:val="005A4266"/>
    <w:rsid w:val="005A59B9"/>
    <w:rsid w:val="005B0222"/>
    <w:rsid w:val="005B051E"/>
    <w:rsid w:val="005B0D9E"/>
    <w:rsid w:val="005B131E"/>
    <w:rsid w:val="005B1525"/>
    <w:rsid w:val="005B4476"/>
    <w:rsid w:val="005B4A9C"/>
    <w:rsid w:val="005B505F"/>
    <w:rsid w:val="005B61F6"/>
    <w:rsid w:val="005B6C6A"/>
    <w:rsid w:val="005B6F56"/>
    <w:rsid w:val="005B6F64"/>
    <w:rsid w:val="005B7898"/>
    <w:rsid w:val="005C0A3A"/>
    <w:rsid w:val="005C15FA"/>
    <w:rsid w:val="005C19DA"/>
    <w:rsid w:val="005C2C67"/>
    <w:rsid w:val="005D48E3"/>
    <w:rsid w:val="005D79EA"/>
    <w:rsid w:val="005E04B7"/>
    <w:rsid w:val="005E4614"/>
    <w:rsid w:val="005E5BCF"/>
    <w:rsid w:val="005F1398"/>
    <w:rsid w:val="005F2BCB"/>
    <w:rsid w:val="005F413E"/>
    <w:rsid w:val="005F439B"/>
    <w:rsid w:val="005F6655"/>
    <w:rsid w:val="005F6AD8"/>
    <w:rsid w:val="006004ED"/>
    <w:rsid w:val="00600C5A"/>
    <w:rsid w:val="00607801"/>
    <w:rsid w:val="0061044A"/>
    <w:rsid w:val="00616A62"/>
    <w:rsid w:val="006172DB"/>
    <w:rsid w:val="00617777"/>
    <w:rsid w:val="00620396"/>
    <w:rsid w:val="006218F2"/>
    <w:rsid w:val="00621BFE"/>
    <w:rsid w:val="0062637C"/>
    <w:rsid w:val="00626B78"/>
    <w:rsid w:val="0063031E"/>
    <w:rsid w:val="00630391"/>
    <w:rsid w:val="0063219B"/>
    <w:rsid w:val="006363B3"/>
    <w:rsid w:val="00636974"/>
    <w:rsid w:val="0064151E"/>
    <w:rsid w:val="0064195D"/>
    <w:rsid w:val="0065008E"/>
    <w:rsid w:val="00660997"/>
    <w:rsid w:val="00660FD1"/>
    <w:rsid w:val="006617FB"/>
    <w:rsid w:val="006625B3"/>
    <w:rsid w:val="006653E5"/>
    <w:rsid w:val="00667057"/>
    <w:rsid w:val="00672403"/>
    <w:rsid w:val="00672488"/>
    <w:rsid w:val="00672657"/>
    <w:rsid w:val="006740D3"/>
    <w:rsid w:val="0067434A"/>
    <w:rsid w:val="006769A7"/>
    <w:rsid w:val="0068386F"/>
    <w:rsid w:val="00683BCA"/>
    <w:rsid w:val="00692241"/>
    <w:rsid w:val="00692FED"/>
    <w:rsid w:val="00695A2B"/>
    <w:rsid w:val="00695B66"/>
    <w:rsid w:val="00695EC1"/>
    <w:rsid w:val="00697AA0"/>
    <w:rsid w:val="006A3EA2"/>
    <w:rsid w:val="006A5516"/>
    <w:rsid w:val="006A5630"/>
    <w:rsid w:val="006A76C7"/>
    <w:rsid w:val="006B253E"/>
    <w:rsid w:val="006B6D0B"/>
    <w:rsid w:val="006B73A1"/>
    <w:rsid w:val="006C0C96"/>
    <w:rsid w:val="006C1469"/>
    <w:rsid w:val="006C2528"/>
    <w:rsid w:val="006C6932"/>
    <w:rsid w:val="006D14EE"/>
    <w:rsid w:val="006D349B"/>
    <w:rsid w:val="006D3974"/>
    <w:rsid w:val="006D4204"/>
    <w:rsid w:val="006E0772"/>
    <w:rsid w:val="006E0BFB"/>
    <w:rsid w:val="006E4885"/>
    <w:rsid w:val="006E59B5"/>
    <w:rsid w:val="006E61B1"/>
    <w:rsid w:val="006E7F3B"/>
    <w:rsid w:val="006F2276"/>
    <w:rsid w:val="006F793B"/>
    <w:rsid w:val="00702968"/>
    <w:rsid w:val="00702F0A"/>
    <w:rsid w:val="00703990"/>
    <w:rsid w:val="007040C4"/>
    <w:rsid w:val="00707436"/>
    <w:rsid w:val="00712A43"/>
    <w:rsid w:val="007130F2"/>
    <w:rsid w:val="00713753"/>
    <w:rsid w:val="00713994"/>
    <w:rsid w:val="0071518C"/>
    <w:rsid w:val="00715234"/>
    <w:rsid w:val="007167A8"/>
    <w:rsid w:val="00717FCC"/>
    <w:rsid w:val="00722358"/>
    <w:rsid w:val="00725894"/>
    <w:rsid w:val="007277EC"/>
    <w:rsid w:val="007320A7"/>
    <w:rsid w:val="007334BB"/>
    <w:rsid w:val="00740BE2"/>
    <w:rsid w:val="007417D8"/>
    <w:rsid w:val="0074579F"/>
    <w:rsid w:val="00745A80"/>
    <w:rsid w:val="00751E02"/>
    <w:rsid w:val="007578B5"/>
    <w:rsid w:val="00761600"/>
    <w:rsid w:val="00762450"/>
    <w:rsid w:val="00763740"/>
    <w:rsid w:val="00772779"/>
    <w:rsid w:val="00772D40"/>
    <w:rsid w:val="00774E41"/>
    <w:rsid w:val="00777485"/>
    <w:rsid w:val="00780DAC"/>
    <w:rsid w:val="00781DD4"/>
    <w:rsid w:val="00781F69"/>
    <w:rsid w:val="00783B57"/>
    <w:rsid w:val="00790AB7"/>
    <w:rsid w:val="00793460"/>
    <w:rsid w:val="00797765"/>
    <w:rsid w:val="007A1F0B"/>
    <w:rsid w:val="007A218D"/>
    <w:rsid w:val="007A2201"/>
    <w:rsid w:val="007A3264"/>
    <w:rsid w:val="007A5DE1"/>
    <w:rsid w:val="007B080A"/>
    <w:rsid w:val="007B0BB2"/>
    <w:rsid w:val="007B267F"/>
    <w:rsid w:val="007B2A57"/>
    <w:rsid w:val="007B3322"/>
    <w:rsid w:val="007B443F"/>
    <w:rsid w:val="007B45D0"/>
    <w:rsid w:val="007C42A3"/>
    <w:rsid w:val="007C46E5"/>
    <w:rsid w:val="007C79F7"/>
    <w:rsid w:val="007C7A00"/>
    <w:rsid w:val="007D0DA3"/>
    <w:rsid w:val="007D3500"/>
    <w:rsid w:val="007D36E6"/>
    <w:rsid w:val="007D7344"/>
    <w:rsid w:val="007E0560"/>
    <w:rsid w:val="007E08F5"/>
    <w:rsid w:val="007E174A"/>
    <w:rsid w:val="007E2145"/>
    <w:rsid w:val="007E5A9A"/>
    <w:rsid w:val="007E61DA"/>
    <w:rsid w:val="007F3064"/>
    <w:rsid w:val="007F6503"/>
    <w:rsid w:val="007F7933"/>
    <w:rsid w:val="00800C70"/>
    <w:rsid w:val="00804D72"/>
    <w:rsid w:val="00805B74"/>
    <w:rsid w:val="00805DF9"/>
    <w:rsid w:val="00806FAC"/>
    <w:rsid w:val="00811289"/>
    <w:rsid w:val="00815798"/>
    <w:rsid w:val="00820649"/>
    <w:rsid w:val="00821900"/>
    <w:rsid w:val="0082740B"/>
    <w:rsid w:val="00830A79"/>
    <w:rsid w:val="00831F41"/>
    <w:rsid w:val="008324A6"/>
    <w:rsid w:val="008326DF"/>
    <w:rsid w:val="0083452F"/>
    <w:rsid w:val="00834C3F"/>
    <w:rsid w:val="00834E02"/>
    <w:rsid w:val="00837F68"/>
    <w:rsid w:val="00841822"/>
    <w:rsid w:val="00842F6D"/>
    <w:rsid w:val="00844BAB"/>
    <w:rsid w:val="00846536"/>
    <w:rsid w:val="00846669"/>
    <w:rsid w:val="00850352"/>
    <w:rsid w:val="008506AF"/>
    <w:rsid w:val="0085317E"/>
    <w:rsid w:val="00855675"/>
    <w:rsid w:val="008604B5"/>
    <w:rsid w:val="00863A45"/>
    <w:rsid w:val="00873235"/>
    <w:rsid w:val="008812D5"/>
    <w:rsid w:val="00881B6D"/>
    <w:rsid w:val="00891FDE"/>
    <w:rsid w:val="00893077"/>
    <w:rsid w:val="008939C4"/>
    <w:rsid w:val="00896C86"/>
    <w:rsid w:val="00897A1E"/>
    <w:rsid w:val="008A3DBA"/>
    <w:rsid w:val="008B63B2"/>
    <w:rsid w:val="008B6535"/>
    <w:rsid w:val="008B7ED5"/>
    <w:rsid w:val="008C3904"/>
    <w:rsid w:val="008C6B3C"/>
    <w:rsid w:val="008D110D"/>
    <w:rsid w:val="008D1D58"/>
    <w:rsid w:val="008D6C59"/>
    <w:rsid w:val="008E013F"/>
    <w:rsid w:val="008E26FD"/>
    <w:rsid w:val="008E6181"/>
    <w:rsid w:val="008F3682"/>
    <w:rsid w:val="008F4E6C"/>
    <w:rsid w:val="008F5ADD"/>
    <w:rsid w:val="008F5D1E"/>
    <w:rsid w:val="00900392"/>
    <w:rsid w:val="00904B65"/>
    <w:rsid w:val="009069BE"/>
    <w:rsid w:val="009074ED"/>
    <w:rsid w:val="00911BE5"/>
    <w:rsid w:val="0091601B"/>
    <w:rsid w:val="00925B3F"/>
    <w:rsid w:val="00931527"/>
    <w:rsid w:val="00932F00"/>
    <w:rsid w:val="00933EC4"/>
    <w:rsid w:val="00936938"/>
    <w:rsid w:val="00942B37"/>
    <w:rsid w:val="00944D80"/>
    <w:rsid w:val="0094707A"/>
    <w:rsid w:val="009562D3"/>
    <w:rsid w:val="0095658D"/>
    <w:rsid w:val="00956B02"/>
    <w:rsid w:val="009570FA"/>
    <w:rsid w:val="009604A0"/>
    <w:rsid w:val="00960618"/>
    <w:rsid w:val="00960C95"/>
    <w:rsid w:val="00962EB2"/>
    <w:rsid w:val="00963C9F"/>
    <w:rsid w:val="0097086C"/>
    <w:rsid w:val="00970F15"/>
    <w:rsid w:val="00972366"/>
    <w:rsid w:val="00972796"/>
    <w:rsid w:val="00973104"/>
    <w:rsid w:val="00976D7A"/>
    <w:rsid w:val="00981506"/>
    <w:rsid w:val="009816F6"/>
    <w:rsid w:val="00985A67"/>
    <w:rsid w:val="00986C42"/>
    <w:rsid w:val="00993039"/>
    <w:rsid w:val="00993DF1"/>
    <w:rsid w:val="00994718"/>
    <w:rsid w:val="009949EC"/>
    <w:rsid w:val="00996895"/>
    <w:rsid w:val="00997D56"/>
    <w:rsid w:val="009A4004"/>
    <w:rsid w:val="009A5C31"/>
    <w:rsid w:val="009A5E19"/>
    <w:rsid w:val="009A63F0"/>
    <w:rsid w:val="009A705C"/>
    <w:rsid w:val="009A7837"/>
    <w:rsid w:val="009B2954"/>
    <w:rsid w:val="009B2AEB"/>
    <w:rsid w:val="009B416B"/>
    <w:rsid w:val="009B4367"/>
    <w:rsid w:val="009B51D9"/>
    <w:rsid w:val="009B6FD9"/>
    <w:rsid w:val="009B78A2"/>
    <w:rsid w:val="009C00F3"/>
    <w:rsid w:val="009C08C1"/>
    <w:rsid w:val="009C2606"/>
    <w:rsid w:val="009C27D5"/>
    <w:rsid w:val="009C53BA"/>
    <w:rsid w:val="009C5BFF"/>
    <w:rsid w:val="009D0E87"/>
    <w:rsid w:val="009D1CDF"/>
    <w:rsid w:val="009D47FE"/>
    <w:rsid w:val="009D4B2A"/>
    <w:rsid w:val="009D5863"/>
    <w:rsid w:val="009D6E26"/>
    <w:rsid w:val="009E0EEB"/>
    <w:rsid w:val="009F2EA2"/>
    <w:rsid w:val="009F457E"/>
    <w:rsid w:val="009F5F09"/>
    <w:rsid w:val="00A00DAC"/>
    <w:rsid w:val="00A051A7"/>
    <w:rsid w:val="00A055AE"/>
    <w:rsid w:val="00A058DB"/>
    <w:rsid w:val="00A0621E"/>
    <w:rsid w:val="00A06E9C"/>
    <w:rsid w:val="00A109FF"/>
    <w:rsid w:val="00A10A92"/>
    <w:rsid w:val="00A14CB0"/>
    <w:rsid w:val="00A14CF6"/>
    <w:rsid w:val="00A15BB2"/>
    <w:rsid w:val="00A16681"/>
    <w:rsid w:val="00A17713"/>
    <w:rsid w:val="00A20347"/>
    <w:rsid w:val="00A20D71"/>
    <w:rsid w:val="00A213E8"/>
    <w:rsid w:val="00A23B44"/>
    <w:rsid w:val="00A240DE"/>
    <w:rsid w:val="00A256FF"/>
    <w:rsid w:val="00A25B30"/>
    <w:rsid w:val="00A26052"/>
    <w:rsid w:val="00A32EE6"/>
    <w:rsid w:val="00A33A56"/>
    <w:rsid w:val="00A360FB"/>
    <w:rsid w:val="00A40059"/>
    <w:rsid w:val="00A40B41"/>
    <w:rsid w:val="00A41D55"/>
    <w:rsid w:val="00A42EBF"/>
    <w:rsid w:val="00A433BB"/>
    <w:rsid w:val="00A45BED"/>
    <w:rsid w:val="00A45E86"/>
    <w:rsid w:val="00A47B76"/>
    <w:rsid w:val="00A53011"/>
    <w:rsid w:val="00A5325E"/>
    <w:rsid w:val="00A53A66"/>
    <w:rsid w:val="00A55D6E"/>
    <w:rsid w:val="00A60AE1"/>
    <w:rsid w:val="00A60D1B"/>
    <w:rsid w:val="00A63B1D"/>
    <w:rsid w:val="00A63DC7"/>
    <w:rsid w:val="00A64D2E"/>
    <w:rsid w:val="00A6669B"/>
    <w:rsid w:val="00A67E41"/>
    <w:rsid w:val="00A737C8"/>
    <w:rsid w:val="00A7716C"/>
    <w:rsid w:val="00A80075"/>
    <w:rsid w:val="00A81BDF"/>
    <w:rsid w:val="00A82CFB"/>
    <w:rsid w:val="00A82D88"/>
    <w:rsid w:val="00A84835"/>
    <w:rsid w:val="00A85200"/>
    <w:rsid w:val="00A857E2"/>
    <w:rsid w:val="00A918C2"/>
    <w:rsid w:val="00A91B10"/>
    <w:rsid w:val="00A92F2D"/>
    <w:rsid w:val="00A9370E"/>
    <w:rsid w:val="00A94586"/>
    <w:rsid w:val="00A9610E"/>
    <w:rsid w:val="00A96245"/>
    <w:rsid w:val="00AA0376"/>
    <w:rsid w:val="00AA25E0"/>
    <w:rsid w:val="00AB2125"/>
    <w:rsid w:val="00AB2403"/>
    <w:rsid w:val="00AB24DA"/>
    <w:rsid w:val="00AB4F35"/>
    <w:rsid w:val="00AB6D76"/>
    <w:rsid w:val="00AC042B"/>
    <w:rsid w:val="00AC098D"/>
    <w:rsid w:val="00AC1051"/>
    <w:rsid w:val="00AC44B3"/>
    <w:rsid w:val="00AC511D"/>
    <w:rsid w:val="00AC606F"/>
    <w:rsid w:val="00AD1D15"/>
    <w:rsid w:val="00AD1F3D"/>
    <w:rsid w:val="00AD23AD"/>
    <w:rsid w:val="00AD23C0"/>
    <w:rsid w:val="00AD40F7"/>
    <w:rsid w:val="00AD4BC6"/>
    <w:rsid w:val="00AE444F"/>
    <w:rsid w:val="00AE6ADC"/>
    <w:rsid w:val="00AE7E37"/>
    <w:rsid w:val="00AF146F"/>
    <w:rsid w:val="00AF30FA"/>
    <w:rsid w:val="00AF72C4"/>
    <w:rsid w:val="00AF7479"/>
    <w:rsid w:val="00AF7BEF"/>
    <w:rsid w:val="00B03552"/>
    <w:rsid w:val="00B072A2"/>
    <w:rsid w:val="00B11C2A"/>
    <w:rsid w:val="00B14905"/>
    <w:rsid w:val="00B1710C"/>
    <w:rsid w:val="00B208BA"/>
    <w:rsid w:val="00B20E75"/>
    <w:rsid w:val="00B21F5A"/>
    <w:rsid w:val="00B22031"/>
    <w:rsid w:val="00B24A86"/>
    <w:rsid w:val="00B3064A"/>
    <w:rsid w:val="00B3271B"/>
    <w:rsid w:val="00B4178E"/>
    <w:rsid w:val="00B42DB7"/>
    <w:rsid w:val="00B45988"/>
    <w:rsid w:val="00B505C7"/>
    <w:rsid w:val="00B51047"/>
    <w:rsid w:val="00B51A37"/>
    <w:rsid w:val="00B51AD6"/>
    <w:rsid w:val="00B51CFB"/>
    <w:rsid w:val="00B54868"/>
    <w:rsid w:val="00B56493"/>
    <w:rsid w:val="00B6302F"/>
    <w:rsid w:val="00B63959"/>
    <w:rsid w:val="00B63CA4"/>
    <w:rsid w:val="00B640FA"/>
    <w:rsid w:val="00B650D1"/>
    <w:rsid w:val="00B650EE"/>
    <w:rsid w:val="00B67B79"/>
    <w:rsid w:val="00B7241F"/>
    <w:rsid w:val="00B73C99"/>
    <w:rsid w:val="00B76DEE"/>
    <w:rsid w:val="00B83392"/>
    <w:rsid w:val="00B844CB"/>
    <w:rsid w:val="00B84675"/>
    <w:rsid w:val="00B87C2C"/>
    <w:rsid w:val="00B91579"/>
    <w:rsid w:val="00B97B2B"/>
    <w:rsid w:val="00BA0B1A"/>
    <w:rsid w:val="00BA39E0"/>
    <w:rsid w:val="00BB3D16"/>
    <w:rsid w:val="00BB4A57"/>
    <w:rsid w:val="00BB565B"/>
    <w:rsid w:val="00BB5C58"/>
    <w:rsid w:val="00BB7626"/>
    <w:rsid w:val="00BC37B2"/>
    <w:rsid w:val="00BC5D55"/>
    <w:rsid w:val="00BD0DD4"/>
    <w:rsid w:val="00BD1951"/>
    <w:rsid w:val="00BD40FE"/>
    <w:rsid w:val="00BD4764"/>
    <w:rsid w:val="00BD48B2"/>
    <w:rsid w:val="00BE4B24"/>
    <w:rsid w:val="00BE6580"/>
    <w:rsid w:val="00BF161E"/>
    <w:rsid w:val="00BF4889"/>
    <w:rsid w:val="00BF4C9C"/>
    <w:rsid w:val="00BF4E18"/>
    <w:rsid w:val="00BF5CF8"/>
    <w:rsid w:val="00C02443"/>
    <w:rsid w:val="00C031CB"/>
    <w:rsid w:val="00C040BA"/>
    <w:rsid w:val="00C04625"/>
    <w:rsid w:val="00C07462"/>
    <w:rsid w:val="00C07EDB"/>
    <w:rsid w:val="00C113C9"/>
    <w:rsid w:val="00C116DB"/>
    <w:rsid w:val="00C13D71"/>
    <w:rsid w:val="00C1481C"/>
    <w:rsid w:val="00C14E02"/>
    <w:rsid w:val="00C15C15"/>
    <w:rsid w:val="00C2078E"/>
    <w:rsid w:val="00C31B49"/>
    <w:rsid w:val="00C32A5C"/>
    <w:rsid w:val="00C33F8E"/>
    <w:rsid w:val="00C359B0"/>
    <w:rsid w:val="00C3617A"/>
    <w:rsid w:val="00C4248E"/>
    <w:rsid w:val="00C439C9"/>
    <w:rsid w:val="00C439DE"/>
    <w:rsid w:val="00C461DE"/>
    <w:rsid w:val="00C471F0"/>
    <w:rsid w:val="00C472CC"/>
    <w:rsid w:val="00C477E5"/>
    <w:rsid w:val="00C50D15"/>
    <w:rsid w:val="00C52375"/>
    <w:rsid w:val="00C54374"/>
    <w:rsid w:val="00C54C9F"/>
    <w:rsid w:val="00C57911"/>
    <w:rsid w:val="00C607CA"/>
    <w:rsid w:val="00C620D6"/>
    <w:rsid w:val="00C62C0A"/>
    <w:rsid w:val="00C634D2"/>
    <w:rsid w:val="00C65ED6"/>
    <w:rsid w:val="00C67426"/>
    <w:rsid w:val="00C7018D"/>
    <w:rsid w:val="00C73370"/>
    <w:rsid w:val="00C7417B"/>
    <w:rsid w:val="00C74BC7"/>
    <w:rsid w:val="00C75CDE"/>
    <w:rsid w:val="00C75DA3"/>
    <w:rsid w:val="00C75E39"/>
    <w:rsid w:val="00C75FA3"/>
    <w:rsid w:val="00C80A9C"/>
    <w:rsid w:val="00C82CA1"/>
    <w:rsid w:val="00C90921"/>
    <w:rsid w:val="00C90CF8"/>
    <w:rsid w:val="00C90EB7"/>
    <w:rsid w:val="00C915B2"/>
    <w:rsid w:val="00C94659"/>
    <w:rsid w:val="00C94B56"/>
    <w:rsid w:val="00CA0510"/>
    <w:rsid w:val="00CA13CC"/>
    <w:rsid w:val="00CA3100"/>
    <w:rsid w:val="00CA4E3E"/>
    <w:rsid w:val="00CA55EC"/>
    <w:rsid w:val="00CA5627"/>
    <w:rsid w:val="00CA6EEB"/>
    <w:rsid w:val="00CB2D02"/>
    <w:rsid w:val="00CB57B9"/>
    <w:rsid w:val="00CC3209"/>
    <w:rsid w:val="00CC3519"/>
    <w:rsid w:val="00CC4C8D"/>
    <w:rsid w:val="00CC5898"/>
    <w:rsid w:val="00CC605A"/>
    <w:rsid w:val="00CD16DC"/>
    <w:rsid w:val="00CD3DAD"/>
    <w:rsid w:val="00CD4C98"/>
    <w:rsid w:val="00CD50AD"/>
    <w:rsid w:val="00CD6054"/>
    <w:rsid w:val="00CD7A36"/>
    <w:rsid w:val="00CE1BE1"/>
    <w:rsid w:val="00CE1F69"/>
    <w:rsid w:val="00CE2716"/>
    <w:rsid w:val="00CE3C47"/>
    <w:rsid w:val="00CE44B2"/>
    <w:rsid w:val="00CF2CAE"/>
    <w:rsid w:val="00CF4EFB"/>
    <w:rsid w:val="00CF53AE"/>
    <w:rsid w:val="00CF61FD"/>
    <w:rsid w:val="00CF64C9"/>
    <w:rsid w:val="00D02821"/>
    <w:rsid w:val="00D02B51"/>
    <w:rsid w:val="00D030B9"/>
    <w:rsid w:val="00D04448"/>
    <w:rsid w:val="00D0783A"/>
    <w:rsid w:val="00D10487"/>
    <w:rsid w:val="00D1160A"/>
    <w:rsid w:val="00D12E5D"/>
    <w:rsid w:val="00D168F9"/>
    <w:rsid w:val="00D1777E"/>
    <w:rsid w:val="00D25253"/>
    <w:rsid w:val="00D308A6"/>
    <w:rsid w:val="00D32703"/>
    <w:rsid w:val="00D36754"/>
    <w:rsid w:val="00D36F24"/>
    <w:rsid w:val="00D401FD"/>
    <w:rsid w:val="00D438CC"/>
    <w:rsid w:val="00D44286"/>
    <w:rsid w:val="00D45132"/>
    <w:rsid w:val="00D45387"/>
    <w:rsid w:val="00D45540"/>
    <w:rsid w:val="00D4561A"/>
    <w:rsid w:val="00D46424"/>
    <w:rsid w:val="00D52A1D"/>
    <w:rsid w:val="00D55B21"/>
    <w:rsid w:val="00D63087"/>
    <w:rsid w:val="00D64528"/>
    <w:rsid w:val="00D66173"/>
    <w:rsid w:val="00D6675D"/>
    <w:rsid w:val="00D700BC"/>
    <w:rsid w:val="00D72296"/>
    <w:rsid w:val="00D74126"/>
    <w:rsid w:val="00D81B66"/>
    <w:rsid w:val="00D8799D"/>
    <w:rsid w:val="00D919FF"/>
    <w:rsid w:val="00D920E7"/>
    <w:rsid w:val="00D96CB6"/>
    <w:rsid w:val="00DB04D4"/>
    <w:rsid w:val="00DB0BCF"/>
    <w:rsid w:val="00DB0F91"/>
    <w:rsid w:val="00DB119B"/>
    <w:rsid w:val="00DB422F"/>
    <w:rsid w:val="00DB61D3"/>
    <w:rsid w:val="00DB6CF9"/>
    <w:rsid w:val="00DB7460"/>
    <w:rsid w:val="00DC1232"/>
    <w:rsid w:val="00DC22EA"/>
    <w:rsid w:val="00DC4601"/>
    <w:rsid w:val="00DC52EF"/>
    <w:rsid w:val="00DC5B5D"/>
    <w:rsid w:val="00DD0122"/>
    <w:rsid w:val="00DD42CC"/>
    <w:rsid w:val="00DD4603"/>
    <w:rsid w:val="00DD560E"/>
    <w:rsid w:val="00DD7402"/>
    <w:rsid w:val="00DE3324"/>
    <w:rsid w:val="00DE508E"/>
    <w:rsid w:val="00DE50B2"/>
    <w:rsid w:val="00DE71EF"/>
    <w:rsid w:val="00DF1469"/>
    <w:rsid w:val="00DF207F"/>
    <w:rsid w:val="00DF31BE"/>
    <w:rsid w:val="00DF516D"/>
    <w:rsid w:val="00DF67AA"/>
    <w:rsid w:val="00E00BB9"/>
    <w:rsid w:val="00E00C3E"/>
    <w:rsid w:val="00E059EC"/>
    <w:rsid w:val="00E10BEF"/>
    <w:rsid w:val="00E15D14"/>
    <w:rsid w:val="00E20DD9"/>
    <w:rsid w:val="00E221F6"/>
    <w:rsid w:val="00E241E3"/>
    <w:rsid w:val="00E242B7"/>
    <w:rsid w:val="00E2532C"/>
    <w:rsid w:val="00E2731D"/>
    <w:rsid w:val="00E30336"/>
    <w:rsid w:val="00E3300B"/>
    <w:rsid w:val="00E446E4"/>
    <w:rsid w:val="00E44EB6"/>
    <w:rsid w:val="00E52BAC"/>
    <w:rsid w:val="00E53F42"/>
    <w:rsid w:val="00E56642"/>
    <w:rsid w:val="00E568A1"/>
    <w:rsid w:val="00E56B3D"/>
    <w:rsid w:val="00E60283"/>
    <w:rsid w:val="00E63386"/>
    <w:rsid w:val="00E66BD0"/>
    <w:rsid w:val="00E66F8B"/>
    <w:rsid w:val="00E6755A"/>
    <w:rsid w:val="00E70FD6"/>
    <w:rsid w:val="00E71B49"/>
    <w:rsid w:val="00E733BB"/>
    <w:rsid w:val="00E74079"/>
    <w:rsid w:val="00E76E86"/>
    <w:rsid w:val="00E814FA"/>
    <w:rsid w:val="00E85D42"/>
    <w:rsid w:val="00E90894"/>
    <w:rsid w:val="00EA1CA1"/>
    <w:rsid w:val="00EA233C"/>
    <w:rsid w:val="00EA469E"/>
    <w:rsid w:val="00EB4BAF"/>
    <w:rsid w:val="00EB7018"/>
    <w:rsid w:val="00EB783E"/>
    <w:rsid w:val="00EB785A"/>
    <w:rsid w:val="00EB7D92"/>
    <w:rsid w:val="00EC066B"/>
    <w:rsid w:val="00EC0F0A"/>
    <w:rsid w:val="00EC0F20"/>
    <w:rsid w:val="00EC461E"/>
    <w:rsid w:val="00EC490D"/>
    <w:rsid w:val="00EC6564"/>
    <w:rsid w:val="00EC7F06"/>
    <w:rsid w:val="00ED1644"/>
    <w:rsid w:val="00ED37DB"/>
    <w:rsid w:val="00ED3B31"/>
    <w:rsid w:val="00ED420A"/>
    <w:rsid w:val="00ED445D"/>
    <w:rsid w:val="00ED6D0A"/>
    <w:rsid w:val="00ED6ECD"/>
    <w:rsid w:val="00ED71EB"/>
    <w:rsid w:val="00ED76B2"/>
    <w:rsid w:val="00EE02A5"/>
    <w:rsid w:val="00EE15E0"/>
    <w:rsid w:val="00EE18C6"/>
    <w:rsid w:val="00EE2639"/>
    <w:rsid w:val="00EE3B6D"/>
    <w:rsid w:val="00EE5B46"/>
    <w:rsid w:val="00EE6FBB"/>
    <w:rsid w:val="00EE7494"/>
    <w:rsid w:val="00EE7977"/>
    <w:rsid w:val="00EF06E3"/>
    <w:rsid w:val="00EF0DD0"/>
    <w:rsid w:val="00EF4F3E"/>
    <w:rsid w:val="00EF7102"/>
    <w:rsid w:val="00EF76B7"/>
    <w:rsid w:val="00F01A00"/>
    <w:rsid w:val="00F03777"/>
    <w:rsid w:val="00F03F77"/>
    <w:rsid w:val="00F0605F"/>
    <w:rsid w:val="00F116EA"/>
    <w:rsid w:val="00F1356E"/>
    <w:rsid w:val="00F142D8"/>
    <w:rsid w:val="00F15B19"/>
    <w:rsid w:val="00F16DF8"/>
    <w:rsid w:val="00F17890"/>
    <w:rsid w:val="00F238E3"/>
    <w:rsid w:val="00F247F1"/>
    <w:rsid w:val="00F329F4"/>
    <w:rsid w:val="00F32BDC"/>
    <w:rsid w:val="00F377D2"/>
    <w:rsid w:val="00F400D9"/>
    <w:rsid w:val="00F413F0"/>
    <w:rsid w:val="00F41F94"/>
    <w:rsid w:val="00F432BD"/>
    <w:rsid w:val="00F4548C"/>
    <w:rsid w:val="00F47873"/>
    <w:rsid w:val="00F50CA3"/>
    <w:rsid w:val="00F510A8"/>
    <w:rsid w:val="00F513A2"/>
    <w:rsid w:val="00F51E28"/>
    <w:rsid w:val="00F57D9E"/>
    <w:rsid w:val="00F67C48"/>
    <w:rsid w:val="00F729F4"/>
    <w:rsid w:val="00F74FEA"/>
    <w:rsid w:val="00F77250"/>
    <w:rsid w:val="00F778CF"/>
    <w:rsid w:val="00F83661"/>
    <w:rsid w:val="00F8521E"/>
    <w:rsid w:val="00F90EEB"/>
    <w:rsid w:val="00F97E53"/>
    <w:rsid w:val="00FA063A"/>
    <w:rsid w:val="00FA08E5"/>
    <w:rsid w:val="00FA0A86"/>
    <w:rsid w:val="00FA3757"/>
    <w:rsid w:val="00FA778F"/>
    <w:rsid w:val="00FB49A6"/>
    <w:rsid w:val="00FB53C1"/>
    <w:rsid w:val="00FC11D8"/>
    <w:rsid w:val="00FC3EA0"/>
    <w:rsid w:val="00FC43A1"/>
    <w:rsid w:val="00FC7E79"/>
    <w:rsid w:val="00FD019D"/>
    <w:rsid w:val="00FD667F"/>
    <w:rsid w:val="00FD7630"/>
    <w:rsid w:val="00FE32A2"/>
    <w:rsid w:val="00FE45BD"/>
    <w:rsid w:val="00FE47DE"/>
    <w:rsid w:val="00FE77B9"/>
    <w:rsid w:val="00FE7B28"/>
    <w:rsid w:val="00FF25F8"/>
    <w:rsid w:val="00FF30F7"/>
    <w:rsid w:val="00FF4E9E"/>
    <w:rsid w:val="00FF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22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C1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2026"/>
    <w:rPr>
      <w:color w:val="0000FF"/>
      <w:u w:val="single"/>
    </w:rPr>
  </w:style>
  <w:style w:type="paragraph" w:customStyle="1" w:styleId="ListParagraph1">
    <w:name w:val="List Paragraph1"/>
    <w:basedOn w:val="a"/>
    <w:rsid w:val="006D3974"/>
    <w:pPr>
      <w:ind w:left="720"/>
      <w:contextualSpacing/>
    </w:pPr>
  </w:style>
  <w:style w:type="table" w:styleId="a4">
    <w:name w:val="Table Grid"/>
    <w:basedOn w:val="a1"/>
    <w:rsid w:val="00D8799D"/>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101A59"/>
    <w:pPr>
      <w:spacing w:after="0" w:line="240" w:lineRule="auto"/>
    </w:pPr>
    <w:rPr>
      <w:rFonts w:ascii="Segoe UI" w:hAnsi="Segoe UI"/>
      <w:sz w:val="18"/>
      <w:szCs w:val="18"/>
      <w:lang w:val="en-US" w:eastAsia="ja-JP"/>
    </w:rPr>
  </w:style>
  <w:style w:type="character" w:customStyle="1" w:styleId="a6">
    <w:name w:val="Текст выноски Знак"/>
    <w:link w:val="a5"/>
    <w:semiHidden/>
    <w:locked/>
    <w:rsid w:val="00101A59"/>
    <w:rPr>
      <w:rFonts w:ascii="Segoe UI" w:hAnsi="Segoe UI"/>
      <w:sz w:val="18"/>
    </w:rPr>
  </w:style>
  <w:style w:type="table" w:styleId="a7">
    <w:name w:val="Table Theme"/>
    <w:basedOn w:val="a1"/>
    <w:rsid w:val="002902C9"/>
    <w:pPr>
      <w:spacing w:after="200" w:line="276"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rsid w:val="00335C4C"/>
    <w:pPr>
      <w:autoSpaceDE w:val="0"/>
      <w:autoSpaceDN w:val="0"/>
      <w:adjustRightInd w:val="0"/>
      <w:spacing w:after="0" w:line="240" w:lineRule="auto"/>
    </w:pPr>
    <w:rPr>
      <w:rFonts w:ascii="Times New Roman" w:eastAsia="MS Mincho" w:hAnsi="Times New Roman"/>
      <w:sz w:val="24"/>
      <w:szCs w:val="24"/>
      <w:lang w:eastAsia="ja-JP"/>
    </w:rPr>
  </w:style>
  <w:style w:type="paragraph" w:styleId="a8">
    <w:name w:val="header"/>
    <w:basedOn w:val="a"/>
    <w:link w:val="a9"/>
    <w:rsid w:val="0014339A"/>
    <w:pPr>
      <w:tabs>
        <w:tab w:val="center" w:pos="4677"/>
        <w:tab w:val="right" w:pos="9355"/>
      </w:tabs>
    </w:pPr>
    <w:rPr>
      <w:lang w:val="en-US"/>
    </w:rPr>
  </w:style>
  <w:style w:type="character" w:customStyle="1" w:styleId="a9">
    <w:name w:val="Верхний колонтитул Знак"/>
    <w:link w:val="a8"/>
    <w:locked/>
    <w:rsid w:val="0014339A"/>
    <w:rPr>
      <w:sz w:val="22"/>
      <w:lang w:val="x-none" w:eastAsia="en-US"/>
    </w:rPr>
  </w:style>
  <w:style w:type="paragraph" w:styleId="aa">
    <w:name w:val="footer"/>
    <w:basedOn w:val="a"/>
    <w:link w:val="ab"/>
    <w:rsid w:val="0014339A"/>
    <w:pPr>
      <w:tabs>
        <w:tab w:val="center" w:pos="4677"/>
        <w:tab w:val="right" w:pos="9355"/>
      </w:tabs>
    </w:pPr>
    <w:rPr>
      <w:lang w:val="en-US"/>
    </w:rPr>
  </w:style>
  <w:style w:type="character" w:customStyle="1" w:styleId="ab">
    <w:name w:val="Нижний колонтитул Знак"/>
    <w:link w:val="aa"/>
    <w:locked/>
    <w:rsid w:val="0014339A"/>
    <w:rPr>
      <w:sz w:val="22"/>
      <w:lang w:val="x-none" w:eastAsia="en-US"/>
    </w:rPr>
  </w:style>
  <w:style w:type="character" w:styleId="ac">
    <w:name w:val="page number"/>
    <w:basedOn w:val="a0"/>
    <w:rsid w:val="00A60AE1"/>
  </w:style>
  <w:style w:type="paragraph" w:styleId="ad">
    <w:name w:val="List Paragraph"/>
    <w:basedOn w:val="a"/>
    <w:uiPriority w:val="34"/>
    <w:qFormat/>
    <w:rsid w:val="003C0DCB"/>
    <w:pPr>
      <w:ind w:left="720"/>
      <w:contextualSpacing/>
    </w:pPr>
  </w:style>
  <w:style w:type="paragraph" w:customStyle="1" w:styleId="xfmc1">
    <w:name w:val="xfmc1"/>
    <w:basedOn w:val="a"/>
    <w:rsid w:val="0038645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386451"/>
  </w:style>
  <w:style w:type="paragraph" w:styleId="ae">
    <w:name w:val="Revision"/>
    <w:hidden/>
    <w:uiPriority w:val="99"/>
    <w:semiHidden/>
    <w:rsid w:val="009B51D9"/>
    <w:rPr>
      <w:rFonts w:eastAsia="Times New Roman"/>
      <w:sz w:val="22"/>
      <w:szCs w:val="22"/>
      <w:lang w:eastAsia="en-US"/>
    </w:rPr>
  </w:style>
  <w:style w:type="character" w:styleId="af">
    <w:name w:val="Emphasis"/>
    <w:basedOn w:val="a0"/>
    <w:uiPriority w:val="20"/>
    <w:qFormat/>
    <w:locked/>
    <w:rsid w:val="001C0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6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2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6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120"/>
                  <w:divBdr>
                    <w:top w:val="single" w:sz="6" w:space="0" w:color="C0C0C0"/>
                    <w:left w:val="single" w:sz="6" w:space="0" w:color="D9D9D9"/>
                    <w:bottom w:val="single" w:sz="6" w:space="0" w:color="D9D9D9"/>
                    <w:right w:val="single" w:sz="6" w:space="0" w:color="D9D9D9"/>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who.int/tb/challenges/mdr/bedaquiline/en/index.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fda.gov/AdvisoryCommittees/CommitteesMeetingMaterials/Drugs/AntiInfectiveDrugsAdvisoryCommittee/ucm293600.htm" TargetMode="External"/><Relationship Id="rId15" Type="http://schemas.openxmlformats.org/officeDocument/2006/relationships/hyperlink" Target="http://workspace.who.int/sites/stb/Expert-GroupMeetingBedaquiline/default.aspx"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E060-7500-6C40-9D12-1E9FABB8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50</Pages>
  <Words>17350</Words>
  <Characters>98897</Characters>
  <Application>Microsoft Macintosh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The use of</vt:lpstr>
    </vt:vector>
  </TitlesOfParts>
  <Company>diakov.net</Company>
  <LinksUpToDate>false</LinksUpToDate>
  <CharactersWithSpaces>116015</CharactersWithSpaces>
  <SharedDoc>false</SharedDoc>
  <HLinks>
    <vt:vector size="18" baseType="variant">
      <vt:variant>
        <vt:i4>4194423</vt:i4>
      </vt:variant>
      <vt:variant>
        <vt:i4>6</vt:i4>
      </vt:variant>
      <vt:variant>
        <vt:i4>0</vt:i4>
      </vt:variant>
      <vt:variant>
        <vt:i4>5</vt:i4>
      </vt:variant>
      <vt:variant>
        <vt:lpwstr>http://www.who.int/medicines/publications/pharmacovigilance_tb/</vt:lpwstr>
      </vt:variant>
      <vt:variant>
        <vt:lpwstr/>
      </vt:variant>
      <vt:variant>
        <vt:i4>6488097</vt:i4>
      </vt:variant>
      <vt:variant>
        <vt:i4>3</vt:i4>
      </vt:variant>
      <vt:variant>
        <vt:i4>0</vt:i4>
      </vt:variant>
      <vt:variant>
        <vt:i4>5</vt:i4>
      </vt:variant>
      <vt:variant>
        <vt:lpwstr>http://workspace.who.int/sites/stb/Expert-GroupMeetingBedaquiline/default.aspx</vt:lpwstr>
      </vt:variant>
      <vt:variant>
        <vt:lpwstr/>
      </vt:variant>
      <vt:variant>
        <vt:i4>5505030</vt:i4>
      </vt:variant>
      <vt:variant>
        <vt:i4>0</vt:i4>
      </vt:variant>
      <vt:variant>
        <vt:i4>0</vt:i4>
      </vt:variant>
      <vt:variant>
        <vt:i4>5</vt:i4>
      </vt:variant>
      <vt:variant>
        <vt:lpwstr>http://www.fda.gov/AdvisoryCommittees/CommitteesMeetingMaterials/Drugs/AntiInfectiveDrugsAdvisoryCommittee/ucm293600.htm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dc:title>
  <dc:subject/>
  <dc:creator>RePack by Diakov</dc:creator>
  <cp:keywords/>
  <dc:description/>
  <cp:lastModifiedBy>пользователь Microsoft Office</cp:lastModifiedBy>
  <cp:revision>150</cp:revision>
  <cp:lastPrinted>2018-08-30T12:57:00Z</cp:lastPrinted>
  <dcterms:created xsi:type="dcterms:W3CDTF">2018-08-23T06:40:00Z</dcterms:created>
  <dcterms:modified xsi:type="dcterms:W3CDTF">2018-10-02T10:43:00Z</dcterms:modified>
</cp:coreProperties>
</file>