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182C" w14:textId="77777777" w:rsidR="00F671F2" w:rsidRPr="00F671F2" w:rsidRDefault="00F671F2" w:rsidP="00696B29">
      <w:pPr>
        <w:spacing w:line="259" w:lineRule="auto"/>
        <w:jc w:val="center"/>
        <w:rPr>
          <w:rFonts w:ascii="Times New Roman" w:hAnsi="Times New Roman" w:cs="Times New Roman"/>
          <w:b/>
          <w:kern w:val="0"/>
          <w:sz w:val="28"/>
          <w:szCs w:val="22"/>
          <w14:ligatures w14:val="none"/>
        </w:rPr>
      </w:pPr>
      <w:r w:rsidRPr="00F671F2">
        <w:rPr>
          <w:rFonts w:ascii="Times New Roman" w:hAnsi="Times New Roman" w:cs="Times New Roman"/>
          <w:b/>
          <w:kern w:val="0"/>
          <w:sz w:val="28"/>
          <w:szCs w:val="22"/>
          <w14:ligatures w14:val="none"/>
        </w:rPr>
        <w:t>Державна установа «Центр громадського здоров’я Міністерства охорони здоров’я України» спільно з Міністерством охорони здоров’я України та міжнародними партнерами</w:t>
      </w:r>
    </w:p>
    <w:p w14:paraId="2F3F2E65" w14:textId="77777777" w:rsidR="00F671F2" w:rsidRPr="00F671F2" w:rsidRDefault="00F671F2" w:rsidP="00696B29">
      <w:pPr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671F2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Шановні колеги! Запрошуємо Вас взяти участь у ІІ Конгресі</w:t>
      </w:r>
    </w:p>
    <w:p w14:paraId="25E3AD70" w14:textId="77777777" w:rsidR="00F671F2" w:rsidRPr="00F671F2" w:rsidRDefault="00F671F2" w:rsidP="00696B29">
      <w:pPr>
        <w:spacing w:line="259" w:lineRule="auto"/>
        <w:jc w:val="center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F671F2">
        <w:rPr>
          <w:rFonts w:ascii="Times New Roman" w:hAnsi="Times New Roman" w:cs="Times New Roman"/>
          <w:b/>
          <w:kern w:val="0"/>
          <w:szCs w:val="22"/>
          <w14:ligatures w14:val="none"/>
        </w:rPr>
        <w:t>«ПРОТИДІЯ ПОШИРЕННЮ ЗБУДНИКІВ З ПРОТИМІКРОБНОЮ РЕЗИСТЕНТНІСТЮ»,</w:t>
      </w:r>
    </w:p>
    <w:p w14:paraId="2A8165E0" w14:textId="3399F865" w:rsidR="00F671F2" w:rsidRPr="00F671F2" w:rsidRDefault="00F671F2" w:rsidP="00696B29">
      <w:pPr>
        <w:jc w:val="center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b/>
          <w:bCs/>
          <w:sz w:val="22"/>
          <w:szCs w:val="22"/>
        </w:rPr>
        <w:t>який відбудеться у м. Київ</w:t>
      </w:r>
    </w:p>
    <w:p w14:paraId="412E0117" w14:textId="77777777" w:rsidR="00F671F2" w:rsidRPr="00F671F2" w:rsidRDefault="00F671F2" w:rsidP="00696B29">
      <w:pPr>
        <w:jc w:val="center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b/>
          <w:bCs/>
          <w:sz w:val="22"/>
          <w:szCs w:val="22"/>
        </w:rPr>
        <w:t>18-19 листопада 2025 року</w:t>
      </w:r>
    </w:p>
    <w:p w14:paraId="1CECAA79" w14:textId="0088958B" w:rsidR="00F671F2" w:rsidRPr="00F671F2" w:rsidRDefault="00F671F2" w:rsidP="00696B29">
      <w:pPr>
        <w:jc w:val="center"/>
        <w:rPr>
          <w:rFonts w:ascii="Times New Roman" w:hAnsi="Times New Roman" w:cs="Times New Roman"/>
          <w:color w:val="EE0000"/>
          <w:sz w:val="22"/>
          <w:szCs w:val="22"/>
        </w:rPr>
      </w:pPr>
      <w:r w:rsidRPr="00F671F2">
        <w:rPr>
          <w:rFonts w:ascii="Times New Roman" w:hAnsi="Times New Roman" w:cs="Times New Roman"/>
          <w:b/>
          <w:bCs/>
          <w:color w:val="EE0000"/>
          <w:sz w:val="22"/>
          <w:szCs w:val="22"/>
        </w:rPr>
        <w:t>(у зв’язку із військовим воєнним станом в країні дата проведення заходу може змінитись</w:t>
      </w:r>
      <w:r w:rsidRPr="00F671F2">
        <w:rPr>
          <w:rFonts w:ascii="Times New Roman" w:hAnsi="Times New Roman" w:cs="Times New Roman"/>
          <w:b/>
          <w:bCs/>
          <w:color w:val="EE0000"/>
          <w:sz w:val="22"/>
          <w:szCs w:val="22"/>
          <w:lang w:val="en-US"/>
        </w:rPr>
        <w:t xml:space="preserve"> </w:t>
      </w:r>
      <w:r w:rsidRPr="00F671F2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на </w:t>
      </w:r>
      <w:r w:rsidRPr="00F671F2">
        <w:rPr>
          <w:rFonts w:ascii="Times New Roman" w:hAnsi="Times New Roman" w:cs="Times New Roman"/>
          <w:b/>
          <w:bCs/>
          <w:color w:val="EE0000"/>
          <w:sz w:val="22"/>
          <w:szCs w:val="22"/>
        </w:rPr>
        <w:t>пізнішу, про що буде повідомлено всім особам, які встигли зареєструватись)</w:t>
      </w:r>
    </w:p>
    <w:p w14:paraId="3E5492A3" w14:textId="77777777" w:rsidR="00F671F2" w:rsidRPr="00F671F2" w:rsidRDefault="00F671F2" w:rsidP="00696B29">
      <w:pPr>
        <w:jc w:val="center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b/>
          <w:bCs/>
          <w:sz w:val="22"/>
          <w:szCs w:val="22"/>
        </w:rPr>
        <w:t>Напрямки Конгресу:</w:t>
      </w:r>
    </w:p>
    <w:p w14:paraId="53A8AF19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>1. Підходи до організації заходів профілактики інфекцій та інфекційного контролю, протидії інфекційним хворобам, пов’язаним із наданням медичної допомоги, адміністрування протимікробних препаратів. Використання сучасних доказових, поведінкових та нетривіальних підходів до їх впровадження.</w:t>
      </w:r>
    </w:p>
    <w:p w14:paraId="09523298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>2. Підходи до оптимізації використання протимікробних препаратів у лікуванні стаціонарних хворих.</w:t>
      </w:r>
    </w:p>
    <w:p w14:paraId="316BA2E6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>3. Рутинний епідеміологічний нагляд за інфекційними хворобами, пов’язаними із наданням медичної допомоги, або зумовлені збудниками з протимікробною резистентністю. Епідеміологічні розслідування.</w:t>
      </w:r>
    </w:p>
    <w:p w14:paraId="09551572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>4. Вплив поширення протимікробної резистентності на лікувальну практику. Підходи до лабораторного визначення профілю резистентності мікроорганізмів до протимікробних препаратів та дезінфікуючих засобів.</w:t>
      </w:r>
    </w:p>
    <w:p w14:paraId="20245942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 xml:space="preserve">5. Використання </w:t>
      </w:r>
      <w:proofErr w:type="spellStart"/>
      <w:r w:rsidRPr="00F671F2">
        <w:rPr>
          <w:rFonts w:ascii="Times New Roman" w:hAnsi="Times New Roman" w:cs="Times New Roman"/>
          <w:sz w:val="22"/>
          <w:szCs w:val="22"/>
        </w:rPr>
        <w:t>cкринінгу</w:t>
      </w:r>
      <w:proofErr w:type="spellEnd"/>
      <w:r w:rsidRPr="00F671F2">
        <w:rPr>
          <w:rFonts w:ascii="Times New Roman" w:hAnsi="Times New Roman" w:cs="Times New Roman"/>
          <w:sz w:val="22"/>
          <w:szCs w:val="22"/>
        </w:rPr>
        <w:t xml:space="preserve"> на колонізацію мікроорганізмів, зокрема з протимікробною резистентністю, кумулятивних </w:t>
      </w:r>
      <w:proofErr w:type="spellStart"/>
      <w:r w:rsidRPr="00F671F2">
        <w:rPr>
          <w:rFonts w:ascii="Times New Roman" w:hAnsi="Times New Roman" w:cs="Times New Roman"/>
          <w:sz w:val="22"/>
          <w:szCs w:val="22"/>
        </w:rPr>
        <w:t>антибіотикограм</w:t>
      </w:r>
      <w:proofErr w:type="spellEnd"/>
      <w:r w:rsidRPr="00F671F2">
        <w:rPr>
          <w:rFonts w:ascii="Times New Roman" w:hAnsi="Times New Roman" w:cs="Times New Roman"/>
          <w:sz w:val="22"/>
          <w:szCs w:val="22"/>
        </w:rPr>
        <w:t xml:space="preserve"> для клінічних потреб та потреб епідеміологічного нагляду за інфекційними хворобами, пов’язаними з наданням медичної допомоги.</w:t>
      </w:r>
    </w:p>
    <w:p w14:paraId="2D80FE36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>6. Розрахунки фінансових витрат та оптимізація використання ресурсів під час впровадження профілактики інфекцій та інфекційного контролю та адміністрування протимікробних препаратів. Актуальні питання доступності антибактеріальних препаратів.</w:t>
      </w:r>
    </w:p>
    <w:p w14:paraId="48A53129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 xml:space="preserve">7. Концепція </w:t>
      </w:r>
      <w:proofErr w:type="spellStart"/>
      <w:r w:rsidRPr="00F671F2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F671F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671F2">
        <w:rPr>
          <w:rFonts w:ascii="Times New Roman" w:hAnsi="Times New Roman" w:cs="Times New Roman"/>
          <w:sz w:val="22"/>
          <w:szCs w:val="22"/>
        </w:rPr>
        <w:t>Health</w:t>
      </w:r>
      <w:proofErr w:type="spellEnd"/>
      <w:r w:rsidRPr="00F671F2">
        <w:rPr>
          <w:rFonts w:ascii="Times New Roman" w:hAnsi="Times New Roman" w:cs="Times New Roman"/>
          <w:sz w:val="22"/>
          <w:szCs w:val="22"/>
        </w:rPr>
        <w:t xml:space="preserve"> (Єдине здоров’я). Вплив поширення протимікробної резистентності на тваринництво та довкілля.</w:t>
      </w:r>
    </w:p>
    <w:p w14:paraId="711F67DA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sz w:val="22"/>
          <w:szCs w:val="22"/>
        </w:rPr>
        <w:t xml:space="preserve">8. Організація та підходи щодо протидії поширенню протимікробної резистентності в умовах війни та під час надання допомоги пораненим унаслідок бойових дій. </w:t>
      </w:r>
    </w:p>
    <w:p w14:paraId="26F3E81D" w14:textId="53AEB9EC" w:rsidR="00F671F2" w:rsidRPr="00F671F2" w:rsidRDefault="00F671F2" w:rsidP="00696B29">
      <w:pPr>
        <w:spacing w:after="0"/>
        <w:jc w:val="both"/>
        <w:rPr>
          <w:rFonts w:ascii="Times New Roman" w:hAnsi="Times New Roman" w:cs="Times New Roman"/>
        </w:rPr>
      </w:pPr>
      <w:r w:rsidRPr="00F671F2">
        <w:rPr>
          <w:rFonts w:ascii="Times New Roman" w:hAnsi="Times New Roman" w:cs="Times New Roman"/>
          <w:b/>
          <w:bCs/>
        </w:rPr>
        <w:t>Форми та правила участі у ІІ Конгресі</w:t>
      </w:r>
    </w:p>
    <w:p w14:paraId="761C713B" w14:textId="77777777" w:rsidR="00F671F2" w:rsidRPr="00F671F2" w:rsidRDefault="00F671F2" w:rsidP="00696B29">
      <w:pPr>
        <w:spacing w:after="0"/>
        <w:jc w:val="both"/>
        <w:rPr>
          <w:rFonts w:ascii="Times New Roman" w:hAnsi="Times New Roman" w:cs="Times New Roman"/>
        </w:rPr>
      </w:pPr>
      <w:r w:rsidRPr="00F671F2">
        <w:rPr>
          <w:rFonts w:ascii="Times New Roman" w:hAnsi="Times New Roman" w:cs="Times New Roman"/>
          <w:b/>
          <w:bCs/>
        </w:rPr>
        <w:t>«Протидія поширенню збудників з протимікробною резистентністю»</w:t>
      </w:r>
    </w:p>
    <w:p w14:paraId="3C30D653" w14:textId="77777777" w:rsidR="00F671F2" w:rsidRPr="00F671F2" w:rsidRDefault="00F671F2" w:rsidP="00696B29">
      <w:pPr>
        <w:jc w:val="both"/>
        <w:rPr>
          <w:rFonts w:ascii="Times New Roman" w:hAnsi="Times New Roman" w:cs="Times New Roman"/>
        </w:rPr>
      </w:pPr>
      <w:r w:rsidRPr="00F671F2">
        <w:rPr>
          <w:rFonts w:ascii="Times New Roman" w:hAnsi="Times New Roman" w:cs="Times New Roman"/>
          <w:b/>
          <w:bCs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649"/>
      </w:tblGrid>
      <w:tr w:rsidR="00F671F2" w:rsidRPr="00F671F2" w14:paraId="562A340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B0B97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участі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1866BD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Деталі та правила участі</w:t>
            </w:r>
          </w:p>
        </w:tc>
      </w:tr>
      <w:tr w:rsidR="00F671F2" w:rsidRPr="00F671F2" w14:paraId="71023176" w14:textId="77777777" w:rsidTr="00F671F2">
        <w:trPr>
          <w:trHeight w:val="2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1BDD4C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Слухач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D50F0" w14:textId="1899190A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Якщо ви бажаєте взяти участь у Конгресі у форматі «слухач», необхідно зареєструватися за посиланням </w:t>
            </w: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 17 жовтня 2025 року</w:t>
            </w: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 включно: </w:t>
            </w:r>
            <w:hyperlink r:id="rId8" w:history="1">
              <w:r w:rsidRPr="00AA1CD2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https://forms.gle/uhJQATgBHNWw8Ak47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F6FDE0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Участь є безкоштовною, у разі схвального рішення слухачу на надану адресу електронної пошти буде надіслане підтвердження участі не пізніше 31 жовтня включно. </w:t>
            </w:r>
          </w:p>
          <w:p w14:paraId="6A76496C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0FA38E" w14:textId="56EBA646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Кількість місць обмежена</w:t>
            </w:r>
          </w:p>
        </w:tc>
      </w:tr>
      <w:tr w:rsidR="00F671F2" w:rsidRPr="00F671F2" w14:paraId="06F68415" w14:textId="77777777">
        <w:trPr>
          <w:trHeight w:val="7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306284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Публікація історії успіху або дослідження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1BD04E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Для участі у Конгресі у форматі «публікація історії успіху або дослідження» необхідно до 17 жовтня 2025 року:</w:t>
            </w:r>
          </w:p>
          <w:p w14:paraId="321319A7" w14:textId="7A0128DB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1) заповнити електронну реєстраційну форму за посиланням: </w:t>
            </w:r>
            <w:hyperlink r:id="rId9" w:history="1">
              <w:r w:rsidRPr="00AA1CD2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https://forms.gle/uhJQATgBHNWw8Ak47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CBE2ED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2) надіслати на електронну адресу kongresamr@gmail.com:</w:t>
            </w:r>
          </w:p>
          <w:p w14:paraId="25CD6DF9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ab/>
              <w:t>анотацію, яка окреслює вашу діяльність. Це може бути історія успіху у вашій професійній діяльності або опис вашого дослідження (у форматі .</w:t>
            </w:r>
            <w:proofErr w:type="spellStart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docx</w:t>
            </w:r>
            <w:proofErr w:type="spellEnd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 або .</w:t>
            </w:r>
            <w:proofErr w:type="spellStart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doc</w:t>
            </w:r>
            <w:proofErr w:type="spellEnd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 українською мовою);</w:t>
            </w:r>
          </w:p>
          <w:p w14:paraId="5500B50F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резюме головного автора українською мовою. </w:t>
            </w:r>
          </w:p>
          <w:p w14:paraId="172EE4DB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Історія успіху або дослідження мають відповідати заявленим темам Конгресу і вимогам до оформлення та будуть розглядатись Оргкомітетом. У разі схвального рішення будуть опубліковані у збірнику матеріалів Конгресу. Електронна адреса: kongresamr@gmail.com, у темі листа вказати «публікація історії успіху або дослідження».</w:t>
            </w:r>
          </w:p>
          <w:p w14:paraId="7D0E6851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41DC3" w14:textId="2CC4E58F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зв’язку з обмеженою кількістю місць учасники, історії успіху або дослідження котрих будуть погодженні до публікації, отримають пріоритет запрошення до участі у Конгресі.</w:t>
            </w:r>
          </w:p>
        </w:tc>
      </w:tr>
      <w:tr w:rsidR="00F671F2" w:rsidRPr="00F671F2" w14:paraId="7BB2D176" w14:textId="77777777">
        <w:trPr>
          <w:trHeight w:val="57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35BC9F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Публікація історії успіху або дослідження та доповідь</w:t>
            </w:r>
          </w:p>
          <w:p w14:paraId="3A91F2EF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(до 25 хв.)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CBF612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Для участі у Конгресі у форматі «Публікація історії успіху або дослідження та доповідь» необхідно до 17 жовтня 2025 року:</w:t>
            </w:r>
          </w:p>
          <w:p w14:paraId="39AC0102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1)  заповнити електронну реєстраційну форму за посиланням: https://forms.gle/uhJQATgBHNWw8Ak47</w:t>
            </w:r>
          </w:p>
          <w:p w14:paraId="16AF75DB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2) надіслати на електронну адресу kongresamr@gmail.com: </w:t>
            </w:r>
          </w:p>
          <w:p w14:paraId="64491B03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ab/>
              <w:t>анотацію, яка окреслює вашу діяльність – історію успіху/дослідження у форматі .</w:t>
            </w:r>
            <w:proofErr w:type="spellStart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docx</w:t>
            </w:r>
            <w:proofErr w:type="spellEnd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 або .</w:t>
            </w:r>
            <w:proofErr w:type="spellStart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doc</w:t>
            </w:r>
            <w:proofErr w:type="spellEnd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 українською мовою;</w:t>
            </w:r>
          </w:p>
          <w:p w14:paraId="639E34BA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резюме головного автора українською мовою;</w:t>
            </w:r>
          </w:p>
          <w:p w14:paraId="4759C053" w14:textId="77777777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у темі листа зазначити «публікація історії успіху або дослідження та доповідь». </w:t>
            </w:r>
          </w:p>
          <w:p w14:paraId="6951A1A3" w14:textId="59341A8D" w:rsidR="00F671F2" w:rsidRPr="00F671F2" w:rsidRDefault="00F671F2" w:rsidP="00696B29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Історія або дослідження мають відповідати заявленим темам Конгресу і вимогам до оформлення. Вони будуть розглядатись Оргкомітетом та погоджуватись із секретарем Оргкомітету. У разі схвального рішення необхідно надіслати слайди для доповіді не пізніше 31 жовтня включно. Оргкомітет </w:t>
            </w:r>
            <w:proofErr w:type="spellStart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надасть</w:t>
            </w:r>
            <w:proofErr w:type="spellEnd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 xml:space="preserve"> персональну </w:t>
            </w:r>
            <w:proofErr w:type="spellStart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методично</w:t>
            </w:r>
            <w:proofErr w:type="spellEnd"/>
            <w:r w:rsidRPr="00F671F2">
              <w:rPr>
                <w:rFonts w:ascii="Times New Roman" w:hAnsi="Times New Roman" w:cs="Times New Roman"/>
                <w:sz w:val="22"/>
                <w:szCs w:val="22"/>
              </w:rPr>
              <w:t>-консультативну підтримку щодо оформлення та рецензування презентації.</w:t>
            </w:r>
          </w:p>
        </w:tc>
      </w:tr>
    </w:tbl>
    <w:p w14:paraId="161AA79D" w14:textId="77777777" w:rsidR="00F671F2" w:rsidRPr="00F671F2" w:rsidRDefault="00F671F2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F671F2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33D2A966" w14:textId="463A9E2A" w:rsidR="00F671F2" w:rsidRPr="00605AA7" w:rsidRDefault="00F671F2" w:rsidP="00696B29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F671F2">
        <w:rPr>
          <w:rFonts w:ascii="Times New Roman" w:hAnsi="Times New Roman" w:cs="Times New Roman"/>
          <w:b/>
        </w:rPr>
        <w:t xml:space="preserve">Компенсація витрат іногороднім учасникам: </w:t>
      </w:r>
      <w:r w:rsidRPr="00F671F2">
        <w:rPr>
          <w:rFonts w:ascii="Times New Roman" w:hAnsi="Times New Roman" w:cs="Times New Roman"/>
          <w:bCs/>
        </w:rPr>
        <w:t>харчування, проживання та організація проїзду для регіональних учасників забезпечуються організатором. Квитки на потяг першого класу компенсації не підлягають.</w:t>
      </w:r>
    </w:p>
    <w:p w14:paraId="33B97E3B" w14:textId="77777777" w:rsidR="00F671F2" w:rsidRPr="00605AA7" w:rsidRDefault="00F671F2" w:rsidP="00696B29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605AA7">
        <w:rPr>
          <w:rFonts w:ascii="Times New Roman" w:hAnsi="Times New Roman" w:cs="Times New Roman"/>
          <w:b/>
        </w:rPr>
        <w:t>Робочі мови Конгресу: українська, англійська.</w:t>
      </w:r>
    </w:p>
    <w:p w14:paraId="6E2C5E8B" w14:textId="77777777" w:rsidR="00F671F2" w:rsidRDefault="00F671F2" w:rsidP="00696B29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605AA7">
        <w:rPr>
          <w:rFonts w:ascii="Times New Roman" w:hAnsi="Times New Roman" w:cs="Times New Roman"/>
        </w:rPr>
        <w:t>Матеріали Конгресу будуть розміщені на офіційному сайті ДУ «Центр громадського здоров’я МОЗ України».</w:t>
      </w:r>
    </w:p>
    <w:p w14:paraId="07DF89B0" w14:textId="77777777" w:rsidR="00F671F2" w:rsidRDefault="00F671F2" w:rsidP="00696B2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5E0949" w14:textId="07093915" w:rsidR="00F671F2" w:rsidRPr="00F671F2" w:rsidRDefault="00F671F2" w:rsidP="00696B29">
      <w:pPr>
        <w:jc w:val="both"/>
        <w:rPr>
          <w:rFonts w:ascii="Times New Roman" w:hAnsi="Times New Roman" w:cs="Times New Roman"/>
        </w:rPr>
      </w:pPr>
      <w:r w:rsidRPr="00F671F2">
        <w:rPr>
          <w:rFonts w:ascii="Times New Roman" w:hAnsi="Times New Roman" w:cs="Times New Roman"/>
          <w:b/>
          <w:bCs/>
        </w:rPr>
        <w:t>ВИМОГИ ДО ОФОРМЛЕННЯ ІСТОРІЇ УСПІХУ АБО ДОСЛІДЖЕННЯ</w:t>
      </w:r>
    </w:p>
    <w:p w14:paraId="50346FE6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− матеріал надсилаються у форматі MS Word (*.</w:t>
      </w:r>
      <w:proofErr w:type="spellStart"/>
      <w:r w:rsidRPr="00696B29">
        <w:rPr>
          <w:rFonts w:ascii="Times New Roman" w:hAnsi="Times New Roman" w:cs="Times New Roman"/>
          <w:sz w:val="22"/>
          <w:szCs w:val="22"/>
        </w:rPr>
        <w:t>doc</w:t>
      </w:r>
      <w:proofErr w:type="spellEnd"/>
      <w:r w:rsidRPr="00696B29">
        <w:rPr>
          <w:rFonts w:ascii="Times New Roman" w:hAnsi="Times New Roman" w:cs="Times New Roman"/>
          <w:sz w:val="22"/>
          <w:szCs w:val="22"/>
        </w:rPr>
        <w:t>, *.</w:t>
      </w:r>
      <w:proofErr w:type="spellStart"/>
      <w:r w:rsidRPr="00696B29">
        <w:rPr>
          <w:rFonts w:ascii="Times New Roman" w:hAnsi="Times New Roman" w:cs="Times New Roman"/>
          <w:sz w:val="22"/>
          <w:szCs w:val="22"/>
        </w:rPr>
        <w:t>docx</w:t>
      </w:r>
      <w:proofErr w:type="spellEnd"/>
      <w:r w:rsidRPr="00696B29">
        <w:rPr>
          <w:rFonts w:ascii="Times New Roman" w:hAnsi="Times New Roman" w:cs="Times New Roman"/>
          <w:sz w:val="22"/>
          <w:szCs w:val="22"/>
        </w:rPr>
        <w:t>);</w:t>
      </w:r>
    </w:p>
    <w:p w14:paraId="06B5A1DA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− обсяг – </w:t>
      </w:r>
      <w:r w:rsidRPr="00696B29">
        <w:rPr>
          <w:rFonts w:ascii="Times New Roman" w:hAnsi="Times New Roman" w:cs="Times New Roman"/>
          <w:b/>
          <w:bCs/>
          <w:sz w:val="22"/>
          <w:szCs w:val="22"/>
          <w:u w:val="single"/>
        </w:rPr>
        <w:t>не більше 2-х сторінок</w:t>
      </w:r>
      <w:r w:rsidRPr="00696B29">
        <w:rPr>
          <w:rFonts w:ascii="Times New Roman" w:hAnsi="Times New Roman" w:cs="Times New Roman"/>
          <w:sz w:val="22"/>
          <w:szCs w:val="22"/>
        </w:rPr>
        <w:t xml:space="preserve"> (Формат А4);</w:t>
      </w:r>
    </w:p>
    <w:p w14:paraId="010ECCC4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− поля – зверху – 2 см, знизу – 2 см; ліворуч – 2 см; праворуч – 2 см;</w:t>
      </w:r>
    </w:p>
    <w:p w14:paraId="2FD220E5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− шрифт – </w:t>
      </w:r>
      <w:proofErr w:type="spellStart"/>
      <w:r w:rsidRPr="00696B29">
        <w:rPr>
          <w:rFonts w:ascii="Times New Roman" w:hAnsi="Times New Roman" w:cs="Times New Roman"/>
          <w:b/>
          <w:bCs/>
          <w:sz w:val="22"/>
          <w:szCs w:val="22"/>
        </w:rPr>
        <w:t>Times</w:t>
      </w:r>
      <w:proofErr w:type="spellEnd"/>
      <w:r w:rsidRPr="00696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96B29">
        <w:rPr>
          <w:rFonts w:ascii="Times New Roman" w:hAnsi="Times New Roman" w:cs="Times New Roman"/>
          <w:b/>
          <w:bCs/>
          <w:sz w:val="22"/>
          <w:szCs w:val="22"/>
        </w:rPr>
        <w:t>New</w:t>
      </w:r>
      <w:proofErr w:type="spellEnd"/>
      <w:r w:rsidRPr="00696B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96B29">
        <w:rPr>
          <w:rFonts w:ascii="Times New Roman" w:hAnsi="Times New Roman" w:cs="Times New Roman"/>
          <w:b/>
          <w:bCs/>
          <w:sz w:val="22"/>
          <w:szCs w:val="22"/>
        </w:rPr>
        <w:t>Roman</w:t>
      </w:r>
      <w:proofErr w:type="spellEnd"/>
      <w:r w:rsidRPr="00696B29">
        <w:rPr>
          <w:rFonts w:ascii="Times New Roman" w:hAnsi="Times New Roman" w:cs="Times New Roman"/>
          <w:sz w:val="22"/>
          <w:szCs w:val="22"/>
        </w:rPr>
        <w:t xml:space="preserve">; кегль –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696B29">
        <w:rPr>
          <w:rFonts w:ascii="Times New Roman" w:hAnsi="Times New Roman" w:cs="Times New Roman"/>
          <w:sz w:val="22"/>
          <w:szCs w:val="22"/>
        </w:rPr>
        <w:t xml:space="preserve">; міжрядковий інтервал –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1,15</w:t>
      </w:r>
      <w:r w:rsidRPr="00696B29">
        <w:rPr>
          <w:rFonts w:ascii="Times New Roman" w:hAnsi="Times New Roman" w:cs="Times New Roman"/>
          <w:sz w:val="22"/>
          <w:szCs w:val="22"/>
        </w:rPr>
        <w:t>;</w:t>
      </w:r>
    </w:p>
    <w:p w14:paraId="2B44B2AE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−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назва роботи</w:t>
      </w:r>
      <w:r w:rsidRPr="00696B29">
        <w:rPr>
          <w:rFonts w:ascii="Times New Roman" w:hAnsi="Times New Roman" w:cs="Times New Roman"/>
          <w:sz w:val="22"/>
          <w:szCs w:val="22"/>
        </w:rPr>
        <w:t xml:space="preserve"> наводиться жирним шрифтом, великими літерами; на наступному рядку зазначається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прізвище та ініціали автора/</w:t>
      </w:r>
      <w:proofErr w:type="spellStart"/>
      <w:r w:rsidRPr="00696B29">
        <w:rPr>
          <w:rFonts w:ascii="Times New Roman" w:hAnsi="Times New Roman" w:cs="Times New Roman"/>
          <w:b/>
          <w:bCs/>
          <w:sz w:val="22"/>
          <w:szCs w:val="22"/>
        </w:rPr>
        <w:t>ів</w:t>
      </w:r>
      <w:proofErr w:type="spellEnd"/>
      <w:r w:rsidRPr="00696B29">
        <w:rPr>
          <w:rFonts w:ascii="Times New Roman" w:hAnsi="Times New Roman" w:cs="Times New Roman"/>
          <w:sz w:val="22"/>
          <w:szCs w:val="22"/>
        </w:rPr>
        <w:t xml:space="preserve"> (вирівнювання по центру); якщо матеріал подається для представлення як доповідь, ім’я та прізвище доповідача у списку всіх авторів підкреслюється; на наступному рядку – повна назва закладу, місто, країна; нижче – e-</w:t>
      </w:r>
      <w:proofErr w:type="spellStart"/>
      <w:r w:rsidRPr="00696B29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696B29">
        <w:rPr>
          <w:rFonts w:ascii="Times New Roman" w:hAnsi="Times New Roman" w:cs="Times New Roman"/>
          <w:sz w:val="22"/>
          <w:szCs w:val="22"/>
        </w:rPr>
        <w:t xml:space="preserve"> автора, з яким необхідно вести листування (вирівнювання по центру);</w:t>
      </w:r>
    </w:p>
    <w:p w14:paraId="0587991D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− у тезах використовується система одиниць СІ. Абревіатура розшифровується після першого згадування у тексті і залишається незмінною по всій роботі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(вирівнювання по ширині)</w:t>
      </w:r>
      <w:r w:rsidRPr="00696B29">
        <w:rPr>
          <w:rFonts w:ascii="Times New Roman" w:hAnsi="Times New Roman" w:cs="Times New Roman"/>
          <w:sz w:val="22"/>
          <w:szCs w:val="22"/>
        </w:rPr>
        <w:t>;</w:t>
      </w:r>
    </w:p>
    <w:p w14:paraId="3E09ABD7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− у десяткових дробах слід використовувати крапки (наприклад: 0.1 або 0.358). Символи «&lt;», «&gt;», «%», «±» пишуться без відриву від попередніх: наприклад, р&lt;0.95, t&gt;37°С, 16%, 0.23±0.01;</w:t>
      </w:r>
    </w:p>
    <w:p w14:paraId="14121F14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−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назва файлу</w:t>
      </w:r>
      <w:r w:rsidRPr="00696B29">
        <w:rPr>
          <w:rFonts w:ascii="Times New Roman" w:hAnsi="Times New Roman" w:cs="Times New Roman"/>
          <w:sz w:val="22"/>
          <w:szCs w:val="22"/>
        </w:rPr>
        <w:t>: Прізвище І. Б. (наприклад, Петренко А. Г.);</w:t>
      </w:r>
    </w:p>
    <w:p w14:paraId="163EF478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− </w:t>
      </w:r>
      <w:r w:rsidRPr="00696B29">
        <w:rPr>
          <w:rFonts w:ascii="Times New Roman" w:hAnsi="Times New Roman" w:cs="Times New Roman"/>
          <w:b/>
          <w:bCs/>
          <w:sz w:val="22"/>
          <w:szCs w:val="22"/>
        </w:rPr>
        <w:t>обов'язкова структура:</w:t>
      </w:r>
      <w:r w:rsidRPr="00696B29">
        <w:rPr>
          <w:rFonts w:ascii="Times New Roman" w:hAnsi="Times New Roman" w:cs="Times New Roman"/>
          <w:sz w:val="22"/>
          <w:szCs w:val="22"/>
        </w:rPr>
        <w:t xml:space="preserve"> знайомство (Ви; Ваша посада; Ваш колектив; лаконічно охарактеризуйте ваш заклад охорони здоров’я (якщо наукове дослідження/установа – не обов’язкова частина)); напрям роботи (відповідно до напрямів Конгресу); самопрезентація (здобутки; конкретні досягнення (вимірювані)); опишіть Ваш досвід, який допоміг досягнути успіху та може бути корисний іншим  (детально)); висновки.</w:t>
      </w:r>
    </w:p>
    <w:p w14:paraId="08356DE6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b/>
          <w:bCs/>
          <w:sz w:val="22"/>
          <w:szCs w:val="22"/>
        </w:rPr>
        <w:t>Не допускається</w:t>
      </w:r>
      <w:r w:rsidRPr="00696B29">
        <w:rPr>
          <w:rFonts w:ascii="Times New Roman" w:hAnsi="Times New Roman" w:cs="Times New Roman"/>
          <w:sz w:val="22"/>
          <w:szCs w:val="22"/>
        </w:rPr>
        <w:t>:</w:t>
      </w:r>
    </w:p>
    <w:p w14:paraId="04C5BCEB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− зазначення вчених звань і наукових ступенів авторів;</w:t>
      </w:r>
    </w:p>
    <w:p w14:paraId="30ED24DE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– використання у тексті тез жирного шрифту, курсиву та інших оформлювальних прийомів;</w:t>
      </w:r>
    </w:p>
    <w:p w14:paraId="14AC138C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− використання таблиць, графіків, діаграм та ілюстрацій.</w:t>
      </w:r>
    </w:p>
    <w:p w14:paraId="28768C7F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6F8A52C" w14:textId="77777777" w:rsidR="00696B29" w:rsidRPr="00696B29" w:rsidRDefault="00696B29" w:rsidP="00696B2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96B29">
        <w:rPr>
          <w:rFonts w:ascii="Times New Roman" w:hAnsi="Times New Roman" w:cs="Times New Roman"/>
          <w:b/>
          <w:bCs/>
          <w:sz w:val="22"/>
          <w:szCs w:val="22"/>
        </w:rPr>
        <w:t>Участь у конгресі та розміщення історії  або дослідження у збірнику безкоштовні!</w:t>
      </w:r>
    </w:p>
    <w:p w14:paraId="6BE57C4C" w14:textId="77777777" w:rsidR="00696B29" w:rsidRPr="00696B29" w:rsidRDefault="00696B29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Відповідальні особи за прийняття матеріалів:</w:t>
      </w:r>
    </w:p>
    <w:p w14:paraId="5DDE5E5A" w14:textId="77777777" w:rsidR="00696B29" w:rsidRPr="00696B29" w:rsidRDefault="00696B29" w:rsidP="00696B29">
      <w:pPr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kongresamr@gmail.com </w:t>
      </w:r>
    </w:p>
    <w:p w14:paraId="36D68E85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Гаврилов Ігнат Олександрович: +38-098-54-23-410, </w:t>
      </w:r>
    </w:p>
    <w:p w14:paraId="3767BF33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 xml:space="preserve">Добролюбова Альона Максимівна: +38-097-33-10-147 </w:t>
      </w:r>
    </w:p>
    <w:p w14:paraId="221EE2F1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5F5021B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Історія успіху / дослідження, які не відповідають вказаним вимогам в оформленні, подані з порушенням встановлених термінів, прийматись не будуть. За зміст тез відповідальність несе автор.</w:t>
      </w:r>
    </w:p>
    <w:p w14:paraId="735E9561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6B29">
        <w:rPr>
          <w:rFonts w:ascii="Times New Roman" w:hAnsi="Times New Roman" w:cs="Times New Roman"/>
          <w:sz w:val="22"/>
          <w:szCs w:val="22"/>
        </w:rPr>
        <w:t>Якщо у Вас виникли будь-які питання, звертайтесь, будь ласка, до відповідальних осіб у зручний для Вас спосіб.</w:t>
      </w:r>
    </w:p>
    <w:p w14:paraId="0E95A6B3" w14:textId="77777777" w:rsidR="00696B29" w:rsidRPr="00696B29" w:rsidRDefault="00696B29" w:rsidP="00696B2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E28C944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96B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З повагою, Організаційний комітет.</w:t>
      </w:r>
    </w:p>
    <w:p w14:paraId="169A2BB5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96B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Дякуємо за участь!</w:t>
      </w:r>
    </w:p>
    <w:p w14:paraId="09FA3878" w14:textId="77777777" w:rsidR="00696B29" w:rsidRDefault="00696B29" w:rsidP="00696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E481EE" w14:textId="338B81AA" w:rsidR="00F671F2" w:rsidRPr="00F671F2" w:rsidRDefault="00F671F2" w:rsidP="00696B29">
      <w:pPr>
        <w:jc w:val="right"/>
        <w:rPr>
          <w:rFonts w:ascii="Times New Roman" w:hAnsi="Times New Roman" w:cs="Times New Roman"/>
        </w:rPr>
      </w:pPr>
      <w:r w:rsidRPr="00F671F2">
        <w:rPr>
          <w:rFonts w:ascii="Times New Roman" w:hAnsi="Times New Roman" w:cs="Times New Roman"/>
          <w:b/>
          <w:bCs/>
          <w:i/>
          <w:iCs/>
        </w:rPr>
        <w:t>Приклад оформлення історії успіху / дослідження</w:t>
      </w:r>
    </w:p>
    <w:p w14:paraId="31BED902" w14:textId="77777777" w:rsidR="00696B29" w:rsidRDefault="00696B29" w:rsidP="00696B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6B29">
        <w:rPr>
          <w:rFonts w:ascii="Times New Roman" w:hAnsi="Times New Roman" w:cs="Times New Roman"/>
          <w:b/>
          <w:bCs/>
        </w:rPr>
        <w:t>ФІНАНСОВЕ ОБҐРУНТУВАННЯ ВПРОВАДЖЕНЯ АДМІНІСТРУВАННЯ ПРОТИМІКРОБНИХ ПРЕПАРАТІВ У ВЕЛИКОМУ ЗАКЛАДІ ОХОРОНИ ЗДОРОВ’Я, ЩО НАДАЄ СТАЦІОНАРНУ ДОПОМОГУ</w:t>
      </w:r>
    </w:p>
    <w:p w14:paraId="36783EC7" w14:textId="04FB24C9" w:rsidR="00696B29" w:rsidRPr="00696B29" w:rsidRDefault="00696B29" w:rsidP="00696B2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96B29">
        <w:rPr>
          <w:rFonts w:ascii="Times New Roman" w:hAnsi="Times New Roman" w:cs="Times New Roman"/>
          <w:u w:val="single"/>
        </w:rPr>
        <w:t>Шевчук Г. М., Петренко І. Н.</w:t>
      </w:r>
    </w:p>
    <w:p w14:paraId="3E0D301C" w14:textId="77777777" w:rsidR="00696B29" w:rsidRPr="00696B29" w:rsidRDefault="00696B29" w:rsidP="00696B29">
      <w:pPr>
        <w:spacing w:after="0"/>
        <w:jc w:val="center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>Київ, Україна</w:t>
      </w:r>
    </w:p>
    <w:p w14:paraId="1AFB7785" w14:textId="77777777" w:rsidR="00696B29" w:rsidRPr="00696B29" w:rsidRDefault="00696B29" w:rsidP="00696B29">
      <w:pPr>
        <w:spacing w:after="0"/>
        <w:jc w:val="center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>Комунальне некомерційне підприємство «Київська міська лікарня №100» Київської міської ради</w:t>
      </w:r>
    </w:p>
    <w:p w14:paraId="50087706" w14:textId="6EDFCD6D" w:rsidR="00F671F2" w:rsidRPr="00F671F2" w:rsidRDefault="00696B29" w:rsidP="00696B29">
      <w:pPr>
        <w:jc w:val="center"/>
        <w:rPr>
          <w:rFonts w:ascii="Times New Roman" w:hAnsi="Times New Roman" w:cs="Times New Roman"/>
        </w:rPr>
      </w:pPr>
      <w:hyperlink r:id="rId10" w:history="1">
        <w:r w:rsidRPr="00AA1CD2">
          <w:rPr>
            <w:rStyle w:val="ae"/>
            <w:rFonts w:ascii="Times New Roman" w:hAnsi="Times New Roman" w:cs="Times New Roman"/>
          </w:rPr>
          <w:t>shevchuk.h.m@gmail.com</w:t>
        </w:r>
      </w:hyperlink>
    </w:p>
    <w:p w14:paraId="4A91DA96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  <w:b/>
          <w:bCs/>
        </w:rPr>
        <w:t>Знайомство:</w:t>
      </w:r>
      <w:r w:rsidRPr="00696B29">
        <w:rPr>
          <w:rFonts w:ascii="Times New Roman" w:hAnsi="Times New Roman" w:cs="Times New Roman"/>
        </w:rPr>
        <w:t xml:space="preserve"> Я, Шевчук Г.М., – фармацевт клінічний відділу інфекційного контролю  (ВІК) КНП «Київська міська лікарня №100» КМР, працюю 2.5 роки у ВІК під керівництвом Петренко І. Н. Наш  ВІК сформовано у 2022 році та укомплектовано керівником, фармацевтом клінічним, епідеміологом, помічником епідеміолога та координатором з гігієни рук, за сумісництвом – з навчання. КНП «Київська міська лікарня №100» КМР – спеціалізований заклад на 540 ліжок з терапевтичними, хірургічними відділеннями (травматологічне, ортопедичне, хірургічне, </w:t>
      </w:r>
      <w:proofErr w:type="spellStart"/>
      <w:r w:rsidRPr="00696B29">
        <w:rPr>
          <w:rFonts w:ascii="Times New Roman" w:hAnsi="Times New Roman" w:cs="Times New Roman"/>
        </w:rPr>
        <w:t>торакальне</w:t>
      </w:r>
      <w:proofErr w:type="spellEnd"/>
      <w:r w:rsidRPr="00696B29">
        <w:rPr>
          <w:rFonts w:ascii="Times New Roman" w:hAnsi="Times New Roman" w:cs="Times New Roman"/>
        </w:rPr>
        <w:t xml:space="preserve">) та двома відділеннями анестезії та інтенсивної терапії (ВАІТ). У роботі ВІК, при проведенні навчання та у консультативних комісіях надає допомогу бактеріологічна лабораторія при нашій лікарні. </w:t>
      </w:r>
    </w:p>
    <w:p w14:paraId="587B9876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  <w:b/>
          <w:bCs/>
        </w:rPr>
        <w:t>Напрям роботи.</w:t>
      </w:r>
      <w:r w:rsidRPr="00696B29">
        <w:rPr>
          <w:rFonts w:ascii="Times New Roman" w:hAnsi="Times New Roman" w:cs="Times New Roman"/>
        </w:rPr>
        <w:t xml:space="preserve"> Розрахунки фінансових витрат та оптимізація використання ресурсів у впровадженні інфекцій та інфекційного контролю та адміністрування протимікробних препаратів. Актуальні питання доступності антибактеріальних препаратів.</w:t>
      </w:r>
    </w:p>
    <w:p w14:paraId="1894DD42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  <w:b/>
          <w:bCs/>
        </w:rPr>
        <w:t>Самопрезентація.</w:t>
      </w:r>
      <w:r w:rsidRPr="00696B29">
        <w:rPr>
          <w:rFonts w:ascii="Times New Roman" w:hAnsi="Times New Roman" w:cs="Times New Roman"/>
        </w:rPr>
        <w:t xml:space="preserve"> Було впроваджено розширений моніторинг використання протимікробних препаратів у всій лікарні, розроблено і впроваджено маршрути пацієнтів та стандартні операційні процедури (СОП) щодо лікування найпоширеніших інфекційних </w:t>
      </w:r>
      <w:proofErr w:type="spellStart"/>
      <w:r w:rsidRPr="00696B29">
        <w:rPr>
          <w:rFonts w:ascii="Times New Roman" w:hAnsi="Times New Roman" w:cs="Times New Roman"/>
        </w:rPr>
        <w:t>хвороб</w:t>
      </w:r>
      <w:proofErr w:type="spellEnd"/>
      <w:r w:rsidRPr="00696B29">
        <w:rPr>
          <w:rFonts w:ascii="Times New Roman" w:hAnsi="Times New Roman" w:cs="Times New Roman"/>
        </w:rPr>
        <w:t xml:space="preserve"> у всіх хірургічних відділеннях та ВАІТ. Тісна співпраця ВІК, зокрема клінічного </w:t>
      </w:r>
      <w:proofErr w:type="spellStart"/>
      <w:r w:rsidRPr="00696B29">
        <w:rPr>
          <w:rFonts w:ascii="Times New Roman" w:hAnsi="Times New Roman" w:cs="Times New Roman"/>
        </w:rPr>
        <w:t>фармацевта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фармакотерапевтичної</w:t>
      </w:r>
      <w:proofErr w:type="spellEnd"/>
      <w:r w:rsidRPr="00696B29">
        <w:rPr>
          <w:rFonts w:ascii="Times New Roman" w:hAnsi="Times New Roman" w:cs="Times New Roman"/>
        </w:rPr>
        <w:t xml:space="preserve"> комісії та лікарняної аптеки з 2023 року дозволили вдосконалити та розробити нові СОП щодо використання антибактеріальних препаратів (АБП). У 2024 році, за рахунок активного моніторингу використання АБП та оптимізації їхнього використання було зекономлено на закупівлі АБП 1.3 млн грн. Отримані результати були презентовані директору КНП «Київська міська лікарня №100» КМР та було обґрунтовано виділення додаткових ресурсів на програму адміністрування у 2026 році.</w:t>
      </w:r>
    </w:p>
    <w:p w14:paraId="21F8E028" w14:textId="77777777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  <w:b/>
          <w:bCs/>
        </w:rPr>
        <w:t>Досвід.</w:t>
      </w:r>
      <w:r w:rsidRPr="00696B29">
        <w:rPr>
          <w:rFonts w:ascii="Times New Roman" w:hAnsi="Times New Roman" w:cs="Times New Roman"/>
        </w:rPr>
        <w:t xml:space="preserve"> Вищенаведені заходи дозволили оптимізувати вибір препаратів, зменшити випадки нераціональних за вибором та тривалістю призначень, визначити оптимальну потребу в АБП та створити гнучку систему їхньої закупівлі. Розроблені СОП впроваджували у хірургічних відділеннях у 2022-2023 роках, а з 2024 розширилися і до відділень ВАІТ. З 2026 року заплановано розширення навчання та впровадження у терапевтичних відділеннях. Було виявлено обмежений вибір АБП для виконання СОП та перегляду згідно з результатами бактеріологічних досліджень. На відміну від 2022 року, наявний вибір АБП у лікарні збільшився з 6 препаратів (</w:t>
      </w:r>
      <w:proofErr w:type="spellStart"/>
      <w:r w:rsidRPr="00696B29">
        <w:rPr>
          <w:rFonts w:ascii="Times New Roman" w:hAnsi="Times New Roman" w:cs="Times New Roman"/>
        </w:rPr>
        <w:t>цефтриаксон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меропенем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левофлоксацин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амоксицилін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метронідазол</w:t>
      </w:r>
      <w:proofErr w:type="spellEnd"/>
      <w:r w:rsidRPr="00696B29">
        <w:rPr>
          <w:rFonts w:ascii="Times New Roman" w:hAnsi="Times New Roman" w:cs="Times New Roman"/>
        </w:rPr>
        <w:t xml:space="preserve"> та </w:t>
      </w:r>
      <w:proofErr w:type="spellStart"/>
      <w:r w:rsidRPr="00696B29">
        <w:rPr>
          <w:rFonts w:ascii="Times New Roman" w:hAnsi="Times New Roman" w:cs="Times New Roman"/>
        </w:rPr>
        <w:t>лінезолід</w:t>
      </w:r>
      <w:proofErr w:type="spellEnd"/>
      <w:r w:rsidRPr="00696B29">
        <w:rPr>
          <w:rFonts w:ascii="Times New Roman" w:hAnsi="Times New Roman" w:cs="Times New Roman"/>
        </w:rPr>
        <w:t xml:space="preserve">) до 14 у 2024 році, і у доступі з’явилися </w:t>
      </w:r>
      <w:proofErr w:type="spellStart"/>
      <w:r w:rsidRPr="00696B29">
        <w:rPr>
          <w:rFonts w:ascii="Times New Roman" w:hAnsi="Times New Roman" w:cs="Times New Roman"/>
        </w:rPr>
        <w:t>цефазолін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амікацин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гентаміцин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доксициклін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сульфаметоксазол</w:t>
      </w:r>
      <w:proofErr w:type="spellEnd"/>
      <w:r w:rsidRPr="00696B29">
        <w:rPr>
          <w:rFonts w:ascii="Times New Roman" w:hAnsi="Times New Roman" w:cs="Times New Roman"/>
        </w:rPr>
        <w:t xml:space="preserve"> з </w:t>
      </w:r>
      <w:proofErr w:type="spellStart"/>
      <w:r w:rsidRPr="00696B29">
        <w:rPr>
          <w:rFonts w:ascii="Times New Roman" w:hAnsi="Times New Roman" w:cs="Times New Roman"/>
        </w:rPr>
        <w:t>триметопримом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азитроміцин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амоксицилін</w:t>
      </w:r>
      <w:proofErr w:type="spellEnd"/>
      <w:r w:rsidRPr="00696B29">
        <w:rPr>
          <w:rFonts w:ascii="Times New Roman" w:hAnsi="Times New Roman" w:cs="Times New Roman"/>
        </w:rPr>
        <w:t xml:space="preserve"> з </w:t>
      </w:r>
      <w:proofErr w:type="spellStart"/>
      <w:r w:rsidRPr="00696B29">
        <w:rPr>
          <w:rFonts w:ascii="Times New Roman" w:hAnsi="Times New Roman" w:cs="Times New Roman"/>
        </w:rPr>
        <w:t>клавулановою</w:t>
      </w:r>
      <w:proofErr w:type="spellEnd"/>
      <w:r w:rsidRPr="00696B29">
        <w:rPr>
          <w:rFonts w:ascii="Times New Roman" w:hAnsi="Times New Roman" w:cs="Times New Roman"/>
        </w:rPr>
        <w:t xml:space="preserve"> кислотою, </w:t>
      </w:r>
      <w:proofErr w:type="spellStart"/>
      <w:r w:rsidRPr="00696B29">
        <w:rPr>
          <w:rFonts w:ascii="Times New Roman" w:hAnsi="Times New Roman" w:cs="Times New Roman"/>
        </w:rPr>
        <w:t>колістин</w:t>
      </w:r>
      <w:proofErr w:type="spellEnd"/>
      <w:r w:rsidRPr="00696B29">
        <w:rPr>
          <w:rFonts w:ascii="Times New Roman" w:hAnsi="Times New Roman" w:cs="Times New Roman"/>
        </w:rPr>
        <w:t xml:space="preserve"> та </w:t>
      </w:r>
      <w:proofErr w:type="spellStart"/>
      <w:r w:rsidRPr="00696B29">
        <w:rPr>
          <w:rFonts w:ascii="Times New Roman" w:hAnsi="Times New Roman" w:cs="Times New Roman"/>
        </w:rPr>
        <w:t>метронідазол</w:t>
      </w:r>
      <w:proofErr w:type="spellEnd"/>
      <w:r w:rsidRPr="00696B29">
        <w:rPr>
          <w:rFonts w:ascii="Times New Roman" w:hAnsi="Times New Roman" w:cs="Times New Roman"/>
        </w:rPr>
        <w:t xml:space="preserve"> і </w:t>
      </w:r>
      <w:proofErr w:type="spellStart"/>
      <w:r w:rsidRPr="00696B29">
        <w:rPr>
          <w:rFonts w:ascii="Times New Roman" w:hAnsi="Times New Roman" w:cs="Times New Roman"/>
        </w:rPr>
        <w:t>лінезолід</w:t>
      </w:r>
      <w:proofErr w:type="spellEnd"/>
      <w:r w:rsidRPr="00696B29">
        <w:rPr>
          <w:rFonts w:ascii="Times New Roman" w:hAnsi="Times New Roman" w:cs="Times New Roman"/>
        </w:rPr>
        <w:t xml:space="preserve"> (як  в ін’єкційних, так і в </w:t>
      </w:r>
      <w:proofErr w:type="spellStart"/>
      <w:r w:rsidRPr="00696B29">
        <w:rPr>
          <w:rFonts w:ascii="Times New Roman" w:hAnsi="Times New Roman" w:cs="Times New Roman"/>
        </w:rPr>
        <w:t>таблетованих</w:t>
      </w:r>
      <w:proofErr w:type="spellEnd"/>
      <w:r w:rsidRPr="00696B29">
        <w:rPr>
          <w:rFonts w:ascii="Times New Roman" w:hAnsi="Times New Roman" w:cs="Times New Roman"/>
        </w:rPr>
        <w:t xml:space="preserve"> формах). Розширення вибору АБП та впровадження СОП, вдосконалення локального формуляра оптимізували використання АБП у лікарні. За результатами нашого моніторингу з 2022 року, зменшився рівень використання АБП, наприклад, </w:t>
      </w:r>
      <w:proofErr w:type="spellStart"/>
      <w:r w:rsidRPr="00696B29">
        <w:rPr>
          <w:rFonts w:ascii="Times New Roman" w:hAnsi="Times New Roman" w:cs="Times New Roman"/>
        </w:rPr>
        <w:t>цефтриаксону</w:t>
      </w:r>
      <w:proofErr w:type="spellEnd"/>
      <w:r w:rsidRPr="00696B29">
        <w:rPr>
          <w:rFonts w:ascii="Times New Roman" w:hAnsi="Times New Roman" w:cs="Times New Roman"/>
        </w:rPr>
        <w:t xml:space="preserve">, </w:t>
      </w:r>
      <w:proofErr w:type="spellStart"/>
      <w:r w:rsidRPr="00696B29">
        <w:rPr>
          <w:rFonts w:ascii="Times New Roman" w:hAnsi="Times New Roman" w:cs="Times New Roman"/>
        </w:rPr>
        <w:t>меропенему</w:t>
      </w:r>
      <w:proofErr w:type="spellEnd"/>
      <w:r w:rsidRPr="00696B29">
        <w:rPr>
          <w:rFonts w:ascii="Times New Roman" w:hAnsi="Times New Roman" w:cs="Times New Roman"/>
        </w:rPr>
        <w:t xml:space="preserve"> та </w:t>
      </w:r>
      <w:proofErr w:type="spellStart"/>
      <w:r w:rsidRPr="00696B29">
        <w:rPr>
          <w:rFonts w:ascii="Times New Roman" w:hAnsi="Times New Roman" w:cs="Times New Roman"/>
        </w:rPr>
        <w:t>лінезоліду</w:t>
      </w:r>
      <w:proofErr w:type="spellEnd"/>
      <w:r w:rsidRPr="00696B29">
        <w:rPr>
          <w:rFonts w:ascii="Times New Roman" w:hAnsi="Times New Roman" w:cs="Times New Roman"/>
        </w:rPr>
        <w:t xml:space="preserve"> у 4.2, 3.5 та 1.4 разів відповідно, за майже однакового обсягу надання медичної допомоги протягом 2022-2024 рр. За підрахункам лікарняної аптеки, така оптимізація використання АБП дозволила зменшити витрати на закупівлі лікарських препаратів на 1.3 млн у 2024 році. </w:t>
      </w:r>
    </w:p>
    <w:p w14:paraId="51CEFD0E" w14:textId="49A5FA56" w:rsidR="00696B29" w:rsidRPr="00696B29" w:rsidRDefault="00696B29" w:rsidP="00696B2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 xml:space="preserve">Наша команда з радістю поділитися отриманим досвідом. Ви можете писати на контактну пошту </w:t>
      </w:r>
      <w:hyperlink r:id="rId11" w:history="1">
        <w:r w:rsidRPr="00696B29">
          <w:rPr>
            <w:rStyle w:val="ae"/>
            <w:rFonts w:ascii="Times New Roman" w:hAnsi="Times New Roman" w:cs="Times New Roman"/>
          </w:rPr>
          <w:t>shevchuk.h.m@gmail.com</w:t>
        </w:r>
      </w:hyperlink>
      <w:r w:rsidRPr="00696B29">
        <w:rPr>
          <w:rFonts w:ascii="Times New Roman" w:hAnsi="Times New Roman" w:cs="Times New Roman"/>
        </w:rPr>
        <w:t>.</w:t>
      </w:r>
    </w:p>
    <w:p w14:paraId="15F68C5A" w14:textId="4164C464" w:rsidR="00F671F2" w:rsidRPr="00F671F2" w:rsidRDefault="00F671F2" w:rsidP="00696B2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671F2">
        <w:rPr>
          <w:rFonts w:ascii="Times New Roman" w:hAnsi="Times New Roman" w:cs="Times New Roman"/>
          <w:b/>
          <w:bCs/>
        </w:rPr>
        <w:t>Висновки.</w:t>
      </w:r>
    </w:p>
    <w:p w14:paraId="2696C3E7" w14:textId="6D5D675A" w:rsidR="00696B29" w:rsidRPr="00696B29" w:rsidRDefault="00696B29" w:rsidP="00696B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>стандартизація підходів до використання АБП призвела до поліпшення їхнього використання, що дозволило підвищити якість надання медичної допомоги;</w:t>
      </w:r>
    </w:p>
    <w:p w14:paraId="00E64ED6" w14:textId="2C6E4DAD" w:rsidR="00696B29" w:rsidRPr="00696B29" w:rsidRDefault="00696B29" w:rsidP="00696B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 xml:space="preserve">вже за 3 роки роботи ВІК та </w:t>
      </w:r>
      <w:proofErr w:type="spellStart"/>
      <w:r w:rsidRPr="00696B29">
        <w:rPr>
          <w:rFonts w:ascii="Times New Roman" w:hAnsi="Times New Roman" w:cs="Times New Roman"/>
        </w:rPr>
        <w:t>фармацевта</w:t>
      </w:r>
      <w:proofErr w:type="spellEnd"/>
      <w:r w:rsidRPr="00696B29">
        <w:rPr>
          <w:rFonts w:ascii="Times New Roman" w:hAnsi="Times New Roman" w:cs="Times New Roman"/>
        </w:rPr>
        <w:t xml:space="preserve"> клінічного, можливо оптимізувати використання АБП — це дозволить знизити витрати на їхню закупівлю; </w:t>
      </w:r>
    </w:p>
    <w:p w14:paraId="1E6B1A05" w14:textId="36B03CA6" w:rsidR="00696B29" w:rsidRPr="00696B29" w:rsidRDefault="00696B29" w:rsidP="00696B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 xml:space="preserve">стандартизація підходів лікування та їхнього впровадження у лікувальних відділеннях шляхом проведення навчання та консультацій є наріжним </w:t>
      </w:r>
      <w:proofErr w:type="spellStart"/>
      <w:r w:rsidRPr="00696B29">
        <w:rPr>
          <w:rFonts w:ascii="Times New Roman" w:hAnsi="Times New Roman" w:cs="Times New Roman"/>
        </w:rPr>
        <w:t>каменем</w:t>
      </w:r>
      <w:proofErr w:type="spellEnd"/>
      <w:r w:rsidRPr="00696B29">
        <w:rPr>
          <w:rFonts w:ascii="Times New Roman" w:hAnsi="Times New Roman" w:cs="Times New Roman"/>
        </w:rPr>
        <w:t xml:space="preserve"> досягнутого результату;</w:t>
      </w:r>
    </w:p>
    <w:p w14:paraId="0DD20717" w14:textId="0AF8EF3D" w:rsidR="00696B29" w:rsidRPr="00696B29" w:rsidRDefault="00696B29" w:rsidP="00696B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 xml:space="preserve">співпраця з бактеріологічною лабораторією, аптекою та </w:t>
      </w:r>
      <w:proofErr w:type="spellStart"/>
      <w:r w:rsidRPr="00696B29">
        <w:rPr>
          <w:rFonts w:ascii="Times New Roman" w:hAnsi="Times New Roman" w:cs="Times New Roman"/>
        </w:rPr>
        <w:t>фармакотерапевтичною</w:t>
      </w:r>
      <w:proofErr w:type="spellEnd"/>
      <w:r w:rsidRPr="00696B29">
        <w:rPr>
          <w:rFonts w:ascii="Times New Roman" w:hAnsi="Times New Roman" w:cs="Times New Roman"/>
        </w:rPr>
        <w:t xml:space="preserve"> комісією відіграло важливу роль; </w:t>
      </w:r>
    </w:p>
    <w:p w14:paraId="31554EC1" w14:textId="0DEF84FE" w:rsidR="00F671F2" w:rsidRPr="00696B29" w:rsidRDefault="00696B29" w:rsidP="00696B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B29">
        <w:rPr>
          <w:rFonts w:ascii="Times New Roman" w:hAnsi="Times New Roman" w:cs="Times New Roman"/>
        </w:rPr>
        <w:t>презентація та періодичне звітування досягнень роботи ВІК керівництву лікарні призвело до підвищення підтримки та виділення ресурсів на подальшу роботу відділу.</w:t>
      </w:r>
      <w:r w:rsidR="00F671F2" w:rsidRPr="00696B29">
        <w:rPr>
          <w:rFonts w:ascii="Times New Roman" w:hAnsi="Times New Roman" w:cs="Times New Roman"/>
        </w:rPr>
        <w:t> </w:t>
      </w:r>
    </w:p>
    <w:p w14:paraId="644D9F7E" w14:textId="77777777" w:rsidR="009A722F" w:rsidRPr="00F671F2" w:rsidRDefault="009A722F" w:rsidP="00696B29">
      <w:pPr>
        <w:jc w:val="both"/>
        <w:rPr>
          <w:rFonts w:ascii="Times New Roman" w:hAnsi="Times New Roman" w:cs="Times New Roman"/>
        </w:rPr>
      </w:pPr>
    </w:p>
    <w:sectPr w:rsidR="009A722F" w:rsidRPr="00F671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C0D"/>
    <w:multiLevelType w:val="hybridMultilevel"/>
    <w:tmpl w:val="56B020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B0649"/>
    <w:multiLevelType w:val="hybridMultilevel"/>
    <w:tmpl w:val="95461C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71D2"/>
    <w:multiLevelType w:val="hybridMultilevel"/>
    <w:tmpl w:val="8176F712"/>
    <w:lvl w:ilvl="0" w:tplc="01B6E98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0174">
    <w:abstractNumId w:val="0"/>
  </w:num>
  <w:num w:numId="2" w16cid:durableId="1639337036">
    <w:abstractNumId w:val="1"/>
  </w:num>
  <w:num w:numId="3" w16cid:durableId="163710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66C0D"/>
    <w:rsid w:val="00696B29"/>
    <w:rsid w:val="007D352E"/>
    <w:rsid w:val="009A722F"/>
    <w:rsid w:val="009D15D3"/>
    <w:rsid w:val="00BA1CF5"/>
    <w:rsid w:val="00F6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C13E"/>
  <w15:chartTrackingRefBased/>
  <w15:docId w15:val="{D6125393-CC5F-4AAE-B71F-C7117D59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7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7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7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1F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71F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6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hJQATgBHNWw8Ak4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vchuk.h.m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hevchuk.h.m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gle/uhJQATgBHNWw8Ak4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1747E12E35524A97F6B634BDBD2A9C" ma:contentTypeVersion="1" ma:contentTypeDescription="Створення нового документа." ma:contentTypeScope="" ma:versionID="24e2a2f333a2a88f2da60dd11c20c961">
  <xsd:schema xmlns:xsd="http://www.w3.org/2001/XMLSchema" xmlns:xs="http://www.w3.org/2001/XMLSchema" xmlns:p="http://schemas.microsoft.com/office/2006/metadata/properties" xmlns:ns3="bbdca20f-e977-4fa8-b015-4b32f7e90f42" targetNamespace="http://schemas.microsoft.com/office/2006/metadata/properties" ma:root="true" ma:fieldsID="36249901def7e35a6420420c6ce19060" ns3:_="">
    <xsd:import namespace="bbdca20f-e977-4fa8-b015-4b32f7e90f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ca20f-e977-4fa8-b015-4b32f7e90f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D2B6A-AECD-4A19-A712-D4124BFF6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ca20f-e977-4fa8-b015-4b32f7e90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78B3E-BFB4-4AD4-9099-205FB980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1B420-B8B3-4D00-A10E-6CD88E28F9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bdca20f-e977-4fa8-b015-4b32f7e90f42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7597</Words>
  <Characters>4331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Ситькова</dc:creator>
  <cp:keywords/>
  <dc:description/>
  <cp:lastModifiedBy>Олександра Ситькова</cp:lastModifiedBy>
  <cp:revision>1</cp:revision>
  <dcterms:created xsi:type="dcterms:W3CDTF">2025-09-01T14:52:00Z</dcterms:created>
  <dcterms:modified xsi:type="dcterms:W3CDTF">2025-09-01T15:12:00Z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0x010100C21747E12E35524A97F6B634BDBD2A9C</vt:lpwstr>
  </property>
</Properties>
</file>