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1C43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50BD798C" w:rsidR="00E53792" w:rsidRDefault="007B3B58" w:rsidP="0614B3A9">
      <w:pPr>
        <w:spacing w:after="0" w:line="240" w:lineRule="auto"/>
        <w:jc w:val="both"/>
        <w:rPr>
          <w:rFonts w:ascii="Times New Roman" w:eastAsia="Times New Roman" w:hAnsi="Times New Roman" w:cs="Times New Roman"/>
          <w:i/>
          <w:iCs/>
          <w:sz w:val="24"/>
          <w:szCs w:val="24"/>
        </w:rPr>
      </w:pPr>
      <w:r w:rsidRPr="007B3B58">
        <w:rPr>
          <w:rFonts w:ascii="Times New Roman" w:eastAsia="Times New Roman" w:hAnsi="Times New Roman" w:cs="Times New Roman"/>
          <w:b/>
          <w:bCs/>
          <w:i/>
          <w:iCs/>
          <w:color w:val="000000" w:themeColor="text1"/>
          <w:sz w:val="24"/>
          <w:szCs w:val="24"/>
        </w:rPr>
        <w:t>ДК 021:2015:72260000-5 Послуги, пов’язані з програмним забезпеченням (</w:t>
      </w:r>
      <w:r w:rsidR="00153805" w:rsidRPr="00153805">
        <w:rPr>
          <w:rFonts w:ascii="Times New Roman" w:eastAsia="Times New Roman" w:hAnsi="Times New Roman" w:cs="Times New Roman"/>
          <w:b/>
          <w:bCs/>
          <w:i/>
          <w:iCs/>
          <w:color w:val="000000" w:themeColor="text1"/>
          <w:sz w:val="24"/>
          <w:szCs w:val="24"/>
        </w:rPr>
        <w:t>Послуги з постачання програмного забезпечення - LIGA 360, доступ строком на 12 місяців</w:t>
      </w:r>
      <w:r w:rsidRPr="007B3B58">
        <w:rPr>
          <w:rFonts w:ascii="Times New Roman" w:eastAsia="Times New Roman" w:hAnsi="Times New Roman" w:cs="Times New Roman"/>
          <w:b/>
          <w:bCs/>
          <w:i/>
          <w:iCs/>
          <w:color w:val="000000" w:themeColor="text1"/>
          <w:sz w:val="24"/>
          <w:szCs w:val="24"/>
        </w:rPr>
        <w:t>)</w:t>
      </w:r>
      <w:r w:rsidR="008707BD" w:rsidRPr="0614B3A9">
        <w:rPr>
          <w:rFonts w:ascii="Times New Roman" w:eastAsia="Times New Roman" w:hAnsi="Times New Roman" w:cs="Times New Roman"/>
          <w:b/>
          <w:bCs/>
          <w:i/>
          <w:iCs/>
          <w:color w:val="000000" w:themeColor="text1"/>
          <w:sz w:val="24"/>
          <w:szCs w:val="24"/>
        </w:rPr>
        <w:t xml:space="preserve"> </w:t>
      </w:r>
      <w:r w:rsidR="001E5B73" w:rsidRPr="0614B3A9">
        <w:rPr>
          <w:rFonts w:ascii="Times New Roman" w:eastAsia="Times New Roman" w:hAnsi="Times New Roman" w:cs="Times New Roman"/>
          <w:i/>
          <w:iCs/>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56ACB54B"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D27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3F700D9F" w:rsidR="00E53792" w:rsidRDefault="001E5B73" w:rsidP="0614B3A9">
      <w:pPr>
        <w:spacing w:before="280" w:after="280" w:line="240" w:lineRule="auto"/>
        <w:jc w:val="both"/>
        <w:rPr>
          <w:rFonts w:ascii="Times New Roman" w:eastAsia="Times New Roman" w:hAnsi="Times New Roman" w:cs="Times New Roman"/>
          <w:b/>
          <w:bCs/>
          <w:i/>
          <w:iCs/>
          <w:sz w:val="24"/>
          <w:szCs w:val="24"/>
        </w:rPr>
      </w:pPr>
      <w:r w:rsidRPr="0614B3A9">
        <w:rPr>
          <w:rFonts w:ascii="Times New Roman" w:eastAsia="Times New Roman" w:hAnsi="Times New Roman" w:cs="Times New Roman"/>
          <w:b/>
          <w:bCs/>
          <w:color w:val="000000" w:themeColor="text1"/>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614B3A9">
        <w:rPr>
          <w:rFonts w:ascii="Times New Roman" w:eastAsia="Times New Roman" w:hAnsi="Times New Roman" w:cs="Times New Roman"/>
          <w:sz w:val="24"/>
          <w:szCs w:val="24"/>
        </w:rPr>
        <w:t xml:space="preserve"> </w:t>
      </w:r>
      <w:r w:rsidR="007B3B58" w:rsidRPr="007B3B58">
        <w:rPr>
          <w:rFonts w:ascii="Times New Roman" w:eastAsia="Times New Roman" w:hAnsi="Times New Roman" w:cs="Times New Roman"/>
          <w:b/>
          <w:bCs/>
          <w:i/>
          <w:iCs/>
          <w:sz w:val="24"/>
          <w:szCs w:val="24"/>
        </w:rPr>
        <w:t>ДК 021:2015:72260000-5 Послуги, пов’язані з програмним забезпеченням (</w:t>
      </w:r>
      <w:r w:rsidR="00153805" w:rsidRPr="00153805">
        <w:rPr>
          <w:rFonts w:ascii="Times New Roman" w:eastAsia="Times New Roman" w:hAnsi="Times New Roman" w:cs="Times New Roman"/>
          <w:b/>
          <w:bCs/>
          <w:i/>
          <w:iCs/>
          <w:sz w:val="24"/>
          <w:szCs w:val="24"/>
        </w:rPr>
        <w:t>Послуги з постачання програмного забезпечення - LIGA 360, доступ строком на 12 місяців</w:t>
      </w:r>
      <w:r w:rsidR="1D2E42F7" w:rsidRPr="0614B3A9">
        <w:rPr>
          <w:rFonts w:ascii="Times New Roman" w:eastAsia="Times New Roman" w:hAnsi="Times New Roman" w:cs="Times New Roman"/>
          <w:b/>
          <w:bCs/>
          <w:i/>
          <w:iCs/>
          <w:sz w:val="24"/>
          <w:szCs w:val="24"/>
        </w:rPr>
        <w:t>)</w:t>
      </w:r>
      <w:r w:rsidR="00A73F52" w:rsidRPr="0614B3A9">
        <w:rPr>
          <w:rFonts w:ascii="Times New Roman" w:eastAsia="Times New Roman" w:hAnsi="Times New Roman" w:cs="Times New Roman"/>
          <w:b/>
          <w:bCs/>
          <w:i/>
          <w:iCs/>
          <w:color w:val="000000" w:themeColor="text1"/>
          <w:sz w:val="24"/>
          <w:szCs w:val="24"/>
        </w:rPr>
        <w:t>.</w:t>
      </w:r>
    </w:p>
    <w:p w14:paraId="00000010" w14:textId="0D4956A2"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D2753F">
        <w:rPr>
          <w:rFonts w:ascii="Times New Roman" w:eastAsia="Times New Roman" w:hAnsi="Times New Roman" w:cs="Times New Roman"/>
          <w:b/>
          <w:i/>
          <w:sz w:val="24"/>
          <w:szCs w:val="24"/>
          <w:u w:val="single"/>
        </w:rPr>
        <w:t>Запит цінових пропозицій</w:t>
      </w:r>
      <w:r w:rsidR="00D2753F" w:rsidRPr="00D2753F">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0000011" w14:textId="3B88DC2D"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BB3E0E">
        <w:rPr>
          <w:rFonts w:ascii="Times New Roman" w:eastAsia="Times New Roman" w:hAnsi="Times New Roman" w:cs="Times New Roman"/>
          <w:sz w:val="24"/>
          <w:szCs w:val="24"/>
        </w:rPr>
        <w:t>4</w:t>
      </w:r>
      <w:r w:rsidR="00CC06D5">
        <w:rPr>
          <w:rFonts w:ascii="Times New Roman" w:eastAsia="Times New Roman" w:hAnsi="Times New Roman" w:cs="Times New Roman"/>
          <w:sz w:val="24"/>
          <w:szCs w:val="24"/>
        </w:rPr>
        <w:t>9</w:t>
      </w:r>
      <w:r w:rsidR="000346A6">
        <w:rPr>
          <w:rFonts w:ascii="Times New Roman" w:eastAsia="Times New Roman" w:hAnsi="Times New Roman" w:cs="Times New Roman"/>
          <w:sz w:val="24"/>
          <w:szCs w:val="24"/>
        </w:rPr>
        <w:t xml:space="preserve">5 </w:t>
      </w:r>
      <w:r w:rsidR="00BB3E0E">
        <w:rPr>
          <w:rFonts w:ascii="Times New Roman" w:eastAsia="Times New Roman" w:hAnsi="Times New Roman" w:cs="Times New Roman"/>
          <w:sz w:val="24"/>
          <w:szCs w:val="24"/>
        </w:rPr>
        <w:t>000</w:t>
      </w:r>
      <w:r w:rsidR="00D2753F">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46FC131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BB3E0E">
        <w:rPr>
          <w:rFonts w:ascii="Times New Roman" w:eastAsia="Times New Roman" w:hAnsi="Times New Roman" w:cs="Times New Roman"/>
          <w:sz w:val="24"/>
          <w:szCs w:val="24"/>
        </w:rPr>
        <w:t>4</w:t>
      </w:r>
      <w:r w:rsidR="00CC06D5">
        <w:rPr>
          <w:rFonts w:ascii="Times New Roman" w:eastAsia="Times New Roman" w:hAnsi="Times New Roman" w:cs="Times New Roman"/>
          <w:sz w:val="24"/>
          <w:szCs w:val="24"/>
        </w:rPr>
        <w:t>9</w:t>
      </w:r>
      <w:r w:rsidR="000346A6">
        <w:rPr>
          <w:rFonts w:ascii="Times New Roman" w:eastAsia="Times New Roman" w:hAnsi="Times New Roman" w:cs="Times New Roman"/>
          <w:sz w:val="24"/>
          <w:szCs w:val="24"/>
        </w:rPr>
        <w:t>5</w:t>
      </w:r>
      <w:r w:rsidR="00BB3E0E">
        <w:rPr>
          <w:rFonts w:ascii="Times New Roman" w:eastAsia="Times New Roman" w:hAnsi="Times New Roman" w:cs="Times New Roman"/>
          <w:sz w:val="24"/>
          <w:szCs w:val="24"/>
        </w:rPr>
        <w:t xml:space="preserve"> 000</w:t>
      </w:r>
      <w:r w:rsidR="00D2753F">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3B0931A" w14:textId="77777777" w:rsidR="00884271" w:rsidRPr="00254E30" w:rsidRDefault="001E5B73" w:rsidP="00884271">
      <w:pPr>
        <w:pBdr>
          <w:top w:val="nil"/>
          <w:left w:val="nil"/>
          <w:bottom w:val="nil"/>
          <w:right w:val="nil"/>
          <w:between w:val="nil"/>
        </w:pBdr>
        <w:tabs>
          <w:tab w:val="left" w:pos="709"/>
          <w:tab w:val="left" w:pos="984"/>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Кількість – </w:t>
      </w:r>
      <w:r w:rsidR="00884271">
        <w:rPr>
          <w:rFonts w:ascii="Times New Roman" w:eastAsia="Times New Roman" w:hAnsi="Times New Roman" w:cs="Times New Roman"/>
          <w:b/>
          <w:sz w:val="24"/>
          <w:szCs w:val="24"/>
        </w:rPr>
        <w:t xml:space="preserve"> </w:t>
      </w:r>
      <w:r w:rsidR="00884271" w:rsidRPr="00254E30">
        <w:rPr>
          <w:rFonts w:ascii="Times New Roman" w:eastAsia="Times New Roman" w:hAnsi="Times New Roman" w:cs="Times New Roman"/>
          <w:color w:val="000000"/>
          <w:sz w:val="24"/>
          <w:szCs w:val="24"/>
          <w:highlight w:val="white"/>
        </w:rPr>
        <w:t>визначені в Додатку № 1 «Технічн</w:t>
      </w:r>
      <w:r w:rsidR="00884271">
        <w:rPr>
          <w:rFonts w:ascii="Times New Roman" w:eastAsia="Times New Roman" w:hAnsi="Times New Roman" w:cs="Times New Roman"/>
          <w:color w:val="000000"/>
          <w:sz w:val="24"/>
          <w:szCs w:val="24"/>
          <w:highlight w:val="white"/>
        </w:rPr>
        <w:t>а</w:t>
      </w:r>
      <w:r w:rsidR="00884271" w:rsidRPr="00254E30">
        <w:rPr>
          <w:rFonts w:ascii="Times New Roman" w:eastAsia="Times New Roman" w:hAnsi="Times New Roman" w:cs="Times New Roman"/>
          <w:color w:val="000000"/>
          <w:sz w:val="24"/>
          <w:szCs w:val="24"/>
          <w:highlight w:val="white"/>
        </w:rPr>
        <w:t xml:space="preserve"> </w:t>
      </w:r>
      <w:r w:rsidR="00884271">
        <w:rPr>
          <w:rFonts w:ascii="Times New Roman" w:eastAsia="Times New Roman" w:hAnsi="Times New Roman" w:cs="Times New Roman"/>
          <w:color w:val="000000"/>
          <w:sz w:val="24"/>
          <w:szCs w:val="24"/>
          <w:highlight w:val="white"/>
        </w:rPr>
        <w:t>специфікація</w:t>
      </w:r>
      <w:r w:rsidR="00884271" w:rsidRPr="00254E30">
        <w:rPr>
          <w:rFonts w:ascii="Times New Roman" w:eastAsia="Times New Roman" w:hAnsi="Times New Roman" w:cs="Times New Roman"/>
          <w:color w:val="000000"/>
          <w:sz w:val="24"/>
          <w:szCs w:val="24"/>
          <w:highlight w:val="white"/>
        </w:rPr>
        <w:t>».</w:t>
      </w:r>
    </w:p>
    <w:p w14:paraId="49FF5AEA" w14:textId="40AB4A93" w:rsidR="00113636" w:rsidRPr="00333CFE" w:rsidRDefault="001E5B73" w:rsidP="00113636">
      <w:pPr>
        <w:pBdr>
          <w:top w:val="nil"/>
          <w:left w:val="nil"/>
          <w:bottom w:val="nil"/>
          <w:right w:val="nil"/>
          <w:between w:val="nil"/>
        </w:pBdr>
        <w:tabs>
          <w:tab w:val="left" w:pos="984"/>
        </w:tabs>
        <w:spacing w:after="0" w:line="240" w:lineRule="auto"/>
        <w:jc w:val="both"/>
        <w:rPr>
          <w:rFonts w:ascii="Times New Roman" w:eastAsia="Times New Roman" w:hAnsi="Times New Roman" w:cs="Times New Roman"/>
          <w:color w:val="000000"/>
          <w:sz w:val="24"/>
          <w:szCs w:val="24"/>
        </w:rPr>
      </w:pPr>
      <w:r w:rsidRPr="00884271">
        <w:rPr>
          <w:rFonts w:ascii="Times New Roman" w:eastAsia="Times New Roman" w:hAnsi="Times New Roman" w:cs="Times New Roman"/>
          <w:sz w:val="24"/>
          <w:szCs w:val="24"/>
        </w:rPr>
        <w:t>Строк надання послуг</w:t>
      </w:r>
      <w:r w:rsidR="00E602B2">
        <w:rPr>
          <w:rFonts w:ascii="Times New Roman" w:eastAsia="Times New Roman" w:hAnsi="Times New Roman" w:cs="Times New Roman"/>
          <w:sz w:val="24"/>
          <w:szCs w:val="24"/>
        </w:rPr>
        <w:t xml:space="preserve"> -</w:t>
      </w:r>
      <w:r w:rsidRPr="00884271">
        <w:t xml:space="preserve"> </w:t>
      </w:r>
      <w:r w:rsidR="00113636" w:rsidRPr="006E786B">
        <w:rPr>
          <w:rFonts w:ascii="Times New Roman" w:hAnsi="Times New Roman" w:cs="Times New Roman"/>
          <w:color w:val="000000"/>
          <w:sz w:val="24"/>
          <w:szCs w:val="24"/>
        </w:rPr>
        <w:t>на 12 місяців з «01» січня 2026 року по «31» грудня 2026 року.</w:t>
      </w:r>
    </w:p>
    <w:p w14:paraId="00000019" w14:textId="7B17B9A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w:t>
      </w:r>
      <w:r w:rsidRPr="00884271">
        <w:rPr>
          <w:rFonts w:ascii="Times New Roman" w:eastAsia="Times New Roman" w:hAnsi="Times New Roman" w:cs="Times New Roman"/>
          <w:sz w:val="24"/>
          <w:szCs w:val="24"/>
        </w:rPr>
        <w:t>послуги.</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0000001D" w14:textId="77777777" w:rsidR="00E53792" w:rsidRDefault="001E5B73">
      <w:pPr>
        <w:spacing w:after="0" w:line="240" w:lineRule="auto"/>
        <w:jc w:val="center"/>
        <w:rPr>
          <w:rFonts w:ascii="Times New Roman" w:eastAsia="Times New Roman" w:hAnsi="Times New Roman" w:cs="Times New Roman"/>
          <w:color w:val="000000"/>
          <w:highlight w:val="white"/>
        </w:rPr>
      </w:pPr>
      <w:r w:rsidRPr="6E87545D">
        <w:rPr>
          <w:rFonts w:ascii="Times New Roman" w:eastAsia="Times New Roman" w:hAnsi="Times New Roman" w:cs="Times New Roman"/>
          <w:color w:val="000000" w:themeColor="text1"/>
          <w:highlight w:val="white"/>
        </w:rPr>
        <w:t>(інформація про необхідні технічні, якісні та кількісні характеристики предмета закупівлі та опис предмета закупівлі)</w:t>
      </w:r>
    </w:p>
    <w:p w14:paraId="2C6D3780" w14:textId="53AB707E" w:rsidR="007B3B58" w:rsidRPr="00A264BB" w:rsidRDefault="007B3B58" w:rsidP="007B3B58">
      <w:pPr>
        <w:spacing w:before="114"/>
        <w:ind w:left="118" w:right="118" w:firstLine="566"/>
        <w:jc w:val="center"/>
        <w:rPr>
          <w:rFonts w:ascii="Times New Roman" w:hAnsi="Times New Roman" w:cs="Times New Roman"/>
          <w:sz w:val="24"/>
        </w:rPr>
      </w:pPr>
      <w:r w:rsidRPr="007B3B58">
        <w:rPr>
          <w:rFonts w:ascii="Times New Roman" w:hAnsi="Times New Roman" w:cs="Times New Roman"/>
          <w:sz w:val="24"/>
        </w:rPr>
        <w:t>ДК 021:2015:72260000-5 Послуги, пов’язані з програмним забезпеченням (</w:t>
      </w:r>
      <w:r w:rsidR="00153805" w:rsidRPr="00153805">
        <w:rPr>
          <w:rFonts w:ascii="Times New Roman" w:hAnsi="Times New Roman" w:cs="Times New Roman"/>
          <w:sz w:val="24"/>
        </w:rPr>
        <w:t>Послуги з постачання програмного забезпечення - LIGA 360, доступ строком на 12 місяців</w:t>
      </w:r>
      <w:r w:rsidRPr="007B3B58">
        <w:rPr>
          <w:rFonts w:ascii="Times New Roman" w:hAnsi="Times New Roman" w:cs="Times New Roman"/>
          <w:sz w:val="24"/>
        </w:rPr>
        <w:t>)</w:t>
      </w:r>
    </w:p>
    <w:tbl>
      <w:tblPr>
        <w:tblStyle w:val="TableNormal"/>
        <w:tblW w:w="936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5968"/>
        <w:gridCol w:w="2694"/>
      </w:tblGrid>
      <w:tr w:rsidR="007B3B58" w:rsidRPr="00A264BB" w14:paraId="05958E42" w14:textId="77777777" w:rsidTr="0066797C">
        <w:trPr>
          <w:trHeight w:val="724"/>
        </w:trPr>
        <w:tc>
          <w:tcPr>
            <w:tcW w:w="703" w:type="dxa"/>
          </w:tcPr>
          <w:p w14:paraId="74F6F553" w14:textId="77777777" w:rsidR="007B3B58" w:rsidRPr="00A264BB" w:rsidRDefault="007B3B58" w:rsidP="0066797C">
            <w:pPr>
              <w:spacing w:before="114"/>
              <w:ind w:left="118" w:right="118"/>
              <w:jc w:val="both"/>
              <w:rPr>
                <w:rFonts w:ascii="Times New Roman" w:hAnsi="Times New Roman" w:cs="Times New Roman"/>
                <w:sz w:val="24"/>
              </w:rPr>
            </w:pPr>
            <w:r w:rsidRPr="00916A28">
              <w:rPr>
                <w:rFonts w:ascii="Times New Roman" w:hAnsi="Times New Roman" w:cs="Times New Roman"/>
                <w:sz w:val="24"/>
              </w:rPr>
              <w:t>№ п/п</w:t>
            </w:r>
          </w:p>
        </w:tc>
        <w:tc>
          <w:tcPr>
            <w:tcW w:w="5968" w:type="dxa"/>
          </w:tcPr>
          <w:p w14:paraId="412E6A76" w14:textId="77777777" w:rsidR="007B3B58" w:rsidRPr="00A264BB" w:rsidRDefault="007B3B58" w:rsidP="0066797C">
            <w:pPr>
              <w:spacing w:before="114"/>
              <w:ind w:left="118" w:right="118"/>
              <w:jc w:val="both"/>
              <w:rPr>
                <w:rFonts w:ascii="Times New Roman" w:hAnsi="Times New Roman" w:cs="Times New Roman"/>
                <w:sz w:val="24"/>
              </w:rPr>
            </w:pPr>
            <w:r w:rsidRPr="00A264BB">
              <w:rPr>
                <w:rFonts w:ascii="Times New Roman" w:hAnsi="Times New Roman" w:cs="Times New Roman"/>
                <w:sz w:val="24"/>
              </w:rPr>
              <w:t>Найменування, конфігурація (версія) Програмного забезпечення</w:t>
            </w:r>
          </w:p>
        </w:tc>
        <w:tc>
          <w:tcPr>
            <w:tcW w:w="2694" w:type="dxa"/>
          </w:tcPr>
          <w:p w14:paraId="2CB70DB4" w14:textId="77777777" w:rsidR="007B3B58" w:rsidRPr="00A264BB" w:rsidRDefault="007B3B58" w:rsidP="0066797C">
            <w:pPr>
              <w:spacing w:before="114"/>
              <w:ind w:left="118" w:right="118"/>
              <w:jc w:val="both"/>
              <w:rPr>
                <w:rFonts w:ascii="Times New Roman" w:hAnsi="Times New Roman" w:cs="Times New Roman"/>
                <w:sz w:val="24"/>
              </w:rPr>
            </w:pPr>
            <w:r w:rsidRPr="00A264BB">
              <w:rPr>
                <w:rFonts w:ascii="Times New Roman" w:hAnsi="Times New Roman" w:cs="Times New Roman"/>
                <w:sz w:val="24"/>
              </w:rPr>
              <w:t>Кількість/обсяг</w:t>
            </w:r>
          </w:p>
        </w:tc>
      </w:tr>
      <w:tr w:rsidR="00572FF5" w:rsidRPr="00A264BB" w14:paraId="3AAE3ED4" w14:textId="77777777" w:rsidTr="0066797C">
        <w:trPr>
          <w:trHeight w:val="397"/>
        </w:trPr>
        <w:tc>
          <w:tcPr>
            <w:tcW w:w="703" w:type="dxa"/>
          </w:tcPr>
          <w:p w14:paraId="557F219D" w14:textId="77777777" w:rsidR="00572FF5" w:rsidRPr="00916A28" w:rsidRDefault="00572FF5" w:rsidP="00572FF5">
            <w:pPr>
              <w:spacing w:before="114"/>
              <w:ind w:right="118"/>
              <w:jc w:val="center"/>
              <w:rPr>
                <w:rFonts w:ascii="Times New Roman" w:hAnsi="Times New Roman" w:cs="Times New Roman"/>
                <w:sz w:val="24"/>
              </w:rPr>
            </w:pPr>
            <w:r w:rsidRPr="00916A28">
              <w:rPr>
                <w:rFonts w:ascii="Times New Roman" w:hAnsi="Times New Roman" w:cs="Times New Roman"/>
                <w:sz w:val="24"/>
              </w:rPr>
              <w:t>1.</w:t>
            </w:r>
          </w:p>
        </w:tc>
        <w:tc>
          <w:tcPr>
            <w:tcW w:w="5968" w:type="dxa"/>
          </w:tcPr>
          <w:p w14:paraId="09396140" w14:textId="65D1AD48" w:rsidR="00572FF5" w:rsidRPr="00A264BB" w:rsidRDefault="00572FF5" w:rsidP="00572FF5">
            <w:pPr>
              <w:spacing w:before="114"/>
              <w:ind w:left="118" w:right="118"/>
              <w:jc w:val="both"/>
              <w:rPr>
                <w:rFonts w:ascii="Times New Roman" w:hAnsi="Times New Roman" w:cs="Times New Roman"/>
                <w:sz w:val="24"/>
              </w:rPr>
            </w:pPr>
            <w:r w:rsidRPr="00916A28">
              <w:rPr>
                <w:rFonts w:ascii="Times New Roman" w:hAnsi="Times New Roman" w:cs="Times New Roman"/>
                <w:sz w:val="24"/>
              </w:rPr>
              <w:t>LIGA 360, доступ строком на 12 місяців</w:t>
            </w:r>
          </w:p>
        </w:tc>
        <w:tc>
          <w:tcPr>
            <w:tcW w:w="2694" w:type="dxa"/>
          </w:tcPr>
          <w:p w14:paraId="79548639" w14:textId="7417CA1A" w:rsidR="00572FF5" w:rsidRPr="00A264BB" w:rsidRDefault="00572FF5" w:rsidP="00572FF5">
            <w:pPr>
              <w:spacing w:before="114"/>
              <w:ind w:right="118"/>
              <w:jc w:val="both"/>
              <w:rPr>
                <w:rFonts w:ascii="Times New Roman" w:hAnsi="Times New Roman" w:cs="Times New Roman"/>
                <w:sz w:val="24"/>
              </w:rPr>
            </w:pPr>
            <w:r w:rsidRPr="00A264BB">
              <w:rPr>
                <w:rFonts w:ascii="Times New Roman" w:hAnsi="Times New Roman" w:cs="Times New Roman"/>
                <w:sz w:val="24"/>
              </w:rPr>
              <w:t>1</w:t>
            </w:r>
            <w:r w:rsidR="00BB3E0E">
              <w:rPr>
                <w:rFonts w:ascii="Times New Roman" w:hAnsi="Times New Roman" w:cs="Times New Roman"/>
                <w:sz w:val="24"/>
              </w:rPr>
              <w:t>2</w:t>
            </w:r>
            <w:r w:rsidRPr="00A264BB">
              <w:rPr>
                <w:rFonts w:ascii="Times New Roman" w:hAnsi="Times New Roman" w:cs="Times New Roman"/>
                <w:sz w:val="24"/>
              </w:rPr>
              <w:t xml:space="preserve"> робочих місць</w:t>
            </w:r>
          </w:p>
        </w:tc>
      </w:tr>
    </w:tbl>
    <w:p w14:paraId="49AD2A40" w14:textId="02E73A13"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Надання послуг з постачання програмного забезпечення передбачає видання Замовнику ліцензій на право одночасного користування програмним забезпеченням 1</w:t>
      </w:r>
      <w:r w:rsidR="00BB3E0E">
        <w:rPr>
          <w:rFonts w:ascii="Times New Roman" w:hAnsi="Times New Roman" w:cs="Times New Roman"/>
          <w:sz w:val="24"/>
          <w:szCs w:val="24"/>
        </w:rPr>
        <w:t>2</w:t>
      </w:r>
      <w:r w:rsidRPr="00AE0F12">
        <w:rPr>
          <w:rFonts w:ascii="Times New Roman" w:hAnsi="Times New Roman" w:cs="Times New Roman"/>
          <w:sz w:val="24"/>
          <w:szCs w:val="24"/>
        </w:rPr>
        <w:t xml:space="preserve"> (</w:t>
      </w:r>
      <w:r w:rsidR="00BB3E0E">
        <w:rPr>
          <w:rFonts w:ascii="Times New Roman" w:hAnsi="Times New Roman" w:cs="Times New Roman"/>
          <w:sz w:val="24"/>
          <w:szCs w:val="24"/>
        </w:rPr>
        <w:t>два</w:t>
      </w:r>
      <w:r w:rsidRPr="00AE0F12">
        <w:rPr>
          <w:rFonts w:ascii="Times New Roman" w:hAnsi="Times New Roman" w:cs="Times New Roman"/>
          <w:sz w:val="24"/>
          <w:szCs w:val="24"/>
        </w:rPr>
        <w:t>надцяти) користувачам, шляхом активації доступу до актуальних версій комплексного рішення комп’ютерної програми LIGA 360 у конфігурації «Єдиний продукт для усієї компанії», авторські майнові права на які належать ТОВ «Інформаційно-аналітичний центр «Ліга».</w:t>
      </w:r>
    </w:p>
    <w:p w14:paraId="133AADEC" w14:textId="7F7B9FBD"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Надання послуг з технічної підтримки програмного забезпечення передбачає право користування програмним забезпеченням строком 12 місяців для 1</w:t>
      </w:r>
      <w:r w:rsidR="00BB3E0E">
        <w:rPr>
          <w:rFonts w:ascii="Times New Roman" w:hAnsi="Times New Roman" w:cs="Times New Roman"/>
          <w:sz w:val="24"/>
          <w:szCs w:val="24"/>
        </w:rPr>
        <w:t xml:space="preserve">2 </w:t>
      </w:r>
      <w:r w:rsidRPr="00AE0F12">
        <w:rPr>
          <w:rFonts w:ascii="Times New Roman" w:hAnsi="Times New Roman" w:cs="Times New Roman"/>
          <w:sz w:val="24"/>
          <w:szCs w:val="24"/>
        </w:rPr>
        <w:t>робочих станцій</w:t>
      </w:r>
      <w:r>
        <w:rPr>
          <w:rFonts w:ascii="Times New Roman" w:hAnsi="Times New Roman" w:cs="Times New Roman"/>
          <w:sz w:val="24"/>
          <w:szCs w:val="24"/>
        </w:rPr>
        <w:t xml:space="preserve"> (місць)</w:t>
      </w:r>
      <w:r w:rsidRPr="00AE0F12">
        <w:rPr>
          <w:rFonts w:ascii="Times New Roman" w:hAnsi="Times New Roman" w:cs="Times New Roman"/>
          <w:sz w:val="24"/>
          <w:szCs w:val="24"/>
        </w:rPr>
        <w:t xml:space="preserve"> Замовника, а також оновлення та підтримку в актуальному стані програмних кодів та версій програмного забезпечення, отримання актуальних репутаційних баз, баз абонентів та всіх необхідних оновлень, отримання основних та проміжних релізів програмного забезпечення.</w:t>
      </w:r>
    </w:p>
    <w:p w14:paraId="4D2EF3F3" w14:textId="77777777" w:rsidR="007B3B58" w:rsidRPr="00AE0F12" w:rsidRDefault="007B3B58" w:rsidP="007B3B58">
      <w:pPr>
        <w:spacing w:before="114"/>
        <w:ind w:right="-2" w:firstLine="566"/>
        <w:jc w:val="center"/>
        <w:rPr>
          <w:rFonts w:ascii="Times New Roman" w:hAnsi="Times New Roman" w:cs="Times New Roman"/>
          <w:b/>
          <w:sz w:val="24"/>
          <w:szCs w:val="24"/>
        </w:rPr>
      </w:pPr>
      <w:r w:rsidRPr="00AE0F12">
        <w:rPr>
          <w:rFonts w:ascii="Times New Roman" w:hAnsi="Times New Roman" w:cs="Times New Roman"/>
          <w:b/>
          <w:sz w:val="24"/>
          <w:szCs w:val="24"/>
        </w:rPr>
        <w:t>Інформаційне наповнення та функціональні можливості LIGA 360</w:t>
      </w:r>
    </w:p>
    <w:p w14:paraId="1D519A7B"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1. </w:t>
      </w:r>
      <w:r w:rsidRPr="00AE0F12">
        <w:rPr>
          <w:rFonts w:ascii="Times New Roman" w:hAnsi="Times New Roman" w:cs="Times New Roman"/>
          <w:bCs/>
          <w:sz w:val="24"/>
          <w:szCs w:val="24"/>
        </w:rPr>
        <w:t>Законодавство для аналізу та моніторингу змін правового поля:</w:t>
      </w:r>
    </w:p>
    <w:p w14:paraId="5EA0150F"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1.1. Повна база законодавства України та нормативно-правових актів з статусом чинності;</w:t>
      </w:r>
    </w:p>
    <w:p w14:paraId="3E54B904"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 xml:space="preserve">1.2. Загальне законодавство, регіональне, столичне, міжнародне, європейське (включаючи нові надходження, змінені редакції, майбутні редакції та </w:t>
      </w:r>
      <w:proofErr w:type="spellStart"/>
      <w:r w:rsidRPr="00AE0F12">
        <w:rPr>
          <w:rFonts w:ascii="Times New Roman" w:hAnsi="Times New Roman" w:cs="Times New Roman"/>
          <w:sz w:val="24"/>
          <w:szCs w:val="24"/>
        </w:rPr>
        <w:t>законопроєкти</w:t>
      </w:r>
      <w:proofErr w:type="spellEnd"/>
      <w:r w:rsidRPr="00AE0F12">
        <w:rPr>
          <w:rFonts w:ascii="Times New Roman" w:hAnsi="Times New Roman" w:cs="Times New Roman"/>
          <w:sz w:val="24"/>
          <w:szCs w:val="24"/>
        </w:rPr>
        <w:t xml:space="preserve"> з картою їх проходження та актуальним статусом), внесені до ЄРДНПА;</w:t>
      </w:r>
    </w:p>
    <w:p w14:paraId="534A9CC1"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1.3. Довідники. Форми, бланки, шаблони;</w:t>
      </w:r>
    </w:p>
    <w:p w14:paraId="706C6AD5"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1.4. Термінологічний словник;</w:t>
      </w:r>
    </w:p>
    <w:p w14:paraId="0A4B5B9A"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1.5. Групування бази даних законодавства та НПА за не менше, ніж 11 видами ресурсів;</w:t>
      </w:r>
    </w:p>
    <w:p w14:paraId="0805DDEB"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1.6. Розширений пошук за точними параметрами;</w:t>
      </w:r>
    </w:p>
    <w:p w14:paraId="641F31F9"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1.7. </w:t>
      </w:r>
      <w:r w:rsidRPr="00AE0F12">
        <w:rPr>
          <w:rFonts w:ascii="Times New Roman" w:hAnsi="Times New Roman" w:cs="Times New Roman"/>
          <w:bCs/>
          <w:sz w:val="24"/>
          <w:szCs w:val="24"/>
        </w:rPr>
        <w:t>Збереження в обране та моніторинг змін.</w:t>
      </w:r>
    </w:p>
    <w:p w14:paraId="1BCD00BD"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2. </w:t>
      </w:r>
      <w:r w:rsidRPr="00AE0F12">
        <w:rPr>
          <w:rFonts w:ascii="Times New Roman" w:hAnsi="Times New Roman" w:cs="Times New Roman"/>
          <w:bCs/>
          <w:sz w:val="24"/>
          <w:szCs w:val="24"/>
        </w:rPr>
        <w:t>Судова робота для аналізу судової практики та формування позиції в суді:</w:t>
      </w:r>
    </w:p>
    <w:p w14:paraId="22A21FFD"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2.1. Повна база судових рішень з державного реєстру;</w:t>
      </w:r>
    </w:p>
    <w:p w14:paraId="40B1F1C5"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2.2. Інструменти та фільтри для пошуку й аналізу  не менше 10 фільтрів з параметрами;</w:t>
      </w:r>
    </w:p>
    <w:p w14:paraId="0594E9A3"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2.3. </w:t>
      </w:r>
      <w:r w:rsidRPr="00AE0F12">
        <w:rPr>
          <w:rFonts w:ascii="Times New Roman" w:hAnsi="Times New Roman" w:cs="Times New Roman"/>
          <w:bCs/>
          <w:sz w:val="24"/>
          <w:szCs w:val="24"/>
        </w:rPr>
        <w:t>Судова практика;</w:t>
      </w:r>
    </w:p>
    <w:p w14:paraId="3CD3C83D"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2.4. Практика ЄСПЛ;</w:t>
      </w:r>
    </w:p>
    <w:p w14:paraId="23B5A494"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2.5. Правові позиції та відступ від позицій;</w:t>
      </w:r>
    </w:p>
    <w:p w14:paraId="0A778222"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2.6. </w:t>
      </w:r>
      <w:r w:rsidRPr="00AE0F12">
        <w:rPr>
          <w:rFonts w:ascii="Times New Roman" w:hAnsi="Times New Roman" w:cs="Times New Roman"/>
          <w:bCs/>
          <w:sz w:val="24"/>
          <w:szCs w:val="24"/>
        </w:rPr>
        <w:t>Відслідковування (моніторинг);</w:t>
      </w:r>
    </w:p>
    <w:p w14:paraId="25C806F4"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lastRenderedPageBreak/>
        <w:t xml:space="preserve">2.7. Моніторинг засідань своєї компанії, у тому числі відслідковування, якщо вони </w:t>
      </w:r>
      <w:proofErr w:type="spellStart"/>
      <w:r w:rsidRPr="00AE0F12">
        <w:rPr>
          <w:rFonts w:ascii="Times New Roman" w:hAnsi="Times New Roman" w:cs="Times New Roman"/>
          <w:sz w:val="24"/>
          <w:szCs w:val="24"/>
        </w:rPr>
        <w:t>зʼявляться</w:t>
      </w:r>
      <w:proofErr w:type="spellEnd"/>
      <w:r w:rsidRPr="00AE0F12">
        <w:rPr>
          <w:rFonts w:ascii="Times New Roman" w:hAnsi="Times New Roman" w:cs="Times New Roman"/>
          <w:sz w:val="24"/>
          <w:szCs w:val="24"/>
        </w:rPr>
        <w:t>;</w:t>
      </w:r>
    </w:p>
    <w:p w14:paraId="05BF85C0"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sz w:val="24"/>
          <w:szCs w:val="24"/>
        </w:rPr>
        <w:t xml:space="preserve">3. </w:t>
      </w:r>
      <w:r w:rsidRPr="00AE0F12">
        <w:rPr>
          <w:rFonts w:ascii="Times New Roman" w:hAnsi="Times New Roman" w:cs="Times New Roman"/>
          <w:bCs/>
          <w:sz w:val="24"/>
          <w:szCs w:val="24"/>
        </w:rPr>
        <w:t>Перевірка компаній та персон;</w:t>
      </w:r>
    </w:p>
    <w:p w14:paraId="1F7AD8B0"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sz w:val="24"/>
          <w:szCs w:val="24"/>
        </w:rPr>
        <w:t>3.</w:t>
      </w:r>
      <w:r w:rsidRPr="00AE0F12">
        <w:rPr>
          <w:rFonts w:ascii="Times New Roman" w:hAnsi="Times New Roman" w:cs="Times New Roman"/>
          <w:bCs/>
          <w:sz w:val="24"/>
          <w:szCs w:val="24"/>
        </w:rPr>
        <w:t xml:space="preserve">1. </w:t>
      </w:r>
      <w:r w:rsidRPr="00AE0F12">
        <w:rPr>
          <w:rFonts w:ascii="Times New Roman" w:hAnsi="Times New Roman" w:cs="Times New Roman"/>
          <w:sz w:val="24"/>
          <w:szCs w:val="24"/>
        </w:rPr>
        <w:t>Експрес-аналіз за не менш, ніж 30 ризик-факторами на які потрібно звернути увагу;</w:t>
      </w:r>
    </w:p>
    <w:p w14:paraId="46D7ABC8"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3.2. </w:t>
      </w:r>
      <w:r w:rsidRPr="00AE0F12">
        <w:rPr>
          <w:rFonts w:ascii="Times New Roman" w:hAnsi="Times New Roman" w:cs="Times New Roman"/>
          <w:sz w:val="24"/>
          <w:szCs w:val="24"/>
        </w:rPr>
        <w:t>Пошук компаній, персон та ФОП для перевірки структури власності по даних про компанію;</w:t>
      </w:r>
    </w:p>
    <w:p w14:paraId="5AE5FB4F"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3.3. </w:t>
      </w:r>
      <w:r w:rsidRPr="00AE0F12">
        <w:rPr>
          <w:rFonts w:ascii="Times New Roman" w:hAnsi="Times New Roman" w:cs="Times New Roman"/>
          <w:sz w:val="24"/>
          <w:szCs w:val="24"/>
        </w:rPr>
        <w:t xml:space="preserve">Пошук та дані компаній з не менш, ніж 5 юрисдикцій: Україна, Велика Британія, Латвія, Кіпр, </w:t>
      </w:r>
      <w:proofErr w:type="spellStart"/>
      <w:r w:rsidRPr="00AE0F12">
        <w:rPr>
          <w:rFonts w:ascii="Times New Roman" w:hAnsi="Times New Roman" w:cs="Times New Roman"/>
          <w:sz w:val="24"/>
          <w:szCs w:val="24"/>
        </w:rPr>
        <w:t>рб</w:t>
      </w:r>
      <w:proofErr w:type="spellEnd"/>
      <w:r w:rsidRPr="00AE0F12">
        <w:rPr>
          <w:rFonts w:ascii="Times New Roman" w:hAnsi="Times New Roman" w:cs="Times New Roman"/>
          <w:sz w:val="24"/>
          <w:szCs w:val="24"/>
        </w:rPr>
        <w:t xml:space="preserve">, </w:t>
      </w:r>
      <w:proofErr w:type="spellStart"/>
      <w:r w:rsidRPr="00AE0F12">
        <w:rPr>
          <w:rFonts w:ascii="Times New Roman" w:hAnsi="Times New Roman" w:cs="Times New Roman"/>
          <w:sz w:val="24"/>
          <w:szCs w:val="24"/>
        </w:rPr>
        <w:t>рф</w:t>
      </w:r>
      <w:proofErr w:type="spellEnd"/>
      <w:r w:rsidRPr="00AE0F12">
        <w:rPr>
          <w:rFonts w:ascii="Times New Roman" w:hAnsi="Times New Roman" w:cs="Times New Roman"/>
          <w:sz w:val="24"/>
          <w:szCs w:val="24"/>
        </w:rPr>
        <w:t>;</w:t>
      </w:r>
    </w:p>
    <w:p w14:paraId="43E6F5DE"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3.4. </w:t>
      </w:r>
      <w:r w:rsidRPr="00AE0F12">
        <w:rPr>
          <w:rFonts w:ascii="Times New Roman" w:hAnsi="Times New Roman" w:cs="Times New Roman"/>
          <w:sz w:val="24"/>
          <w:szCs w:val="24"/>
        </w:rPr>
        <w:t>Відслідковування (моніторинг) змін в даних компаній та персон;</w:t>
      </w:r>
    </w:p>
    <w:p w14:paraId="0E731C45"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3.5. </w:t>
      </w:r>
      <w:r w:rsidRPr="00AE0F12">
        <w:rPr>
          <w:rFonts w:ascii="Times New Roman" w:hAnsi="Times New Roman" w:cs="Times New Roman"/>
          <w:sz w:val="24"/>
          <w:szCs w:val="24"/>
        </w:rPr>
        <w:t>Автоматична перевірка в не менш, ніж 55 санкційних списках;</w:t>
      </w:r>
    </w:p>
    <w:p w14:paraId="711035A4"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3.6. </w:t>
      </w:r>
      <w:r w:rsidRPr="00AE0F12">
        <w:rPr>
          <w:rFonts w:ascii="Times New Roman" w:hAnsi="Times New Roman" w:cs="Times New Roman"/>
          <w:sz w:val="24"/>
          <w:szCs w:val="24"/>
        </w:rPr>
        <w:t>Торговельні марки, патенти й корисні моделі;</w:t>
      </w:r>
    </w:p>
    <w:p w14:paraId="15E6C5B9"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3.7. </w:t>
      </w:r>
      <w:r w:rsidRPr="00AE0F12">
        <w:rPr>
          <w:rFonts w:ascii="Times New Roman" w:hAnsi="Times New Roman" w:cs="Times New Roman"/>
          <w:sz w:val="24"/>
          <w:szCs w:val="24"/>
        </w:rPr>
        <w:t>Інформація про перевірки.</w:t>
      </w:r>
    </w:p>
    <w:p w14:paraId="513C0879"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 xml:space="preserve">4. Глибоке дослідження </w:t>
      </w:r>
      <w:proofErr w:type="spellStart"/>
      <w:r w:rsidRPr="00AE0F12">
        <w:rPr>
          <w:rFonts w:ascii="Times New Roman" w:hAnsi="Times New Roman" w:cs="Times New Roman"/>
          <w:bCs/>
          <w:sz w:val="24"/>
          <w:szCs w:val="24"/>
        </w:rPr>
        <w:t>звʼязків</w:t>
      </w:r>
      <w:proofErr w:type="spellEnd"/>
      <w:r w:rsidRPr="00AE0F12">
        <w:rPr>
          <w:rFonts w:ascii="Times New Roman" w:hAnsi="Times New Roman" w:cs="Times New Roman"/>
          <w:bCs/>
          <w:sz w:val="24"/>
          <w:szCs w:val="24"/>
        </w:rPr>
        <w:t xml:space="preserve"> компаній та персон:</w:t>
      </w:r>
    </w:p>
    <w:p w14:paraId="071DE1A0"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4.1. </w:t>
      </w:r>
      <w:r w:rsidRPr="00AE0F12">
        <w:rPr>
          <w:rFonts w:ascii="Times New Roman" w:hAnsi="Times New Roman" w:cs="Times New Roman"/>
          <w:sz w:val="24"/>
          <w:szCs w:val="24"/>
        </w:rPr>
        <w:t xml:space="preserve">Графічний режим для дослідження </w:t>
      </w:r>
      <w:proofErr w:type="spellStart"/>
      <w:r w:rsidRPr="00AE0F12">
        <w:rPr>
          <w:rFonts w:ascii="Times New Roman" w:hAnsi="Times New Roman" w:cs="Times New Roman"/>
          <w:sz w:val="24"/>
          <w:szCs w:val="24"/>
        </w:rPr>
        <w:t>звʼязків</w:t>
      </w:r>
      <w:proofErr w:type="spellEnd"/>
      <w:r w:rsidRPr="00AE0F12">
        <w:rPr>
          <w:rFonts w:ascii="Times New Roman" w:hAnsi="Times New Roman" w:cs="Times New Roman"/>
          <w:sz w:val="24"/>
          <w:szCs w:val="24"/>
        </w:rPr>
        <w:t xml:space="preserve"> компанії з іншими компаніями та посадовими особами в не менш, ніж 4 юрисдикціях (Україна, Кіпр, Велика Британія, </w:t>
      </w:r>
      <w:proofErr w:type="spellStart"/>
      <w:r w:rsidRPr="00AE0F12">
        <w:rPr>
          <w:rFonts w:ascii="Times New Roman" w:hAnsi="Times New Roman" w:cs="Times New Roman"/>
          <w:sz w:val="24"/>
          <w:szCs w:val="24"/>
        </w:rPr>
        <w:t>рф</w:t>
      </w:r>
      <w:proofErr w:type="spellEnd"/>
      <w:r w:rsidRPr="00AE0F12">
        <w:rPr>
          <w:rFonts w:ascii="Times New Roman" w:hAnsi="Times New Roman" w:cs="Times New Roman"/>
          <w:sz w:val="24"/>
          <w:szCs w:val="24"/>
        </w:rPr>
        <w:t xml:space="preserve"> та </w:t>
      </w:r>
      <w:proofErr w:type="spellStart"/>
      <w:r w:rsidRPr="00AE0F12">
        <w:rPr>
          <w:rFonts w:ascii="Times New Roman" w:hAnsi="Times New Roman" w:cs="Times New Roman"/>
          <w:sz w:val="24"/>
          <w:szCs w:val="24"/>
        </w:rPr>
        <w:t>рб</w:t>
      </w:r>
      <w:proofErr w:type="spellEnd"/>
      <w:r w:rsidRPr="00AE0F12">
        <w:rPr>
          <w:rFonts w:ascii="Times New Roman" w:hAnsi="Times New Roman" w:cs="Times New Roman"/>
          <w:sz w:val="24"/>
          <w:szCs w:val="24"/>
        </w:rPr>
        <w:t>);</w:t>
      </w:r>
    </w:p>
    <w:p w14:paraId="20657E89"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4.2. </w:t>
      </w:r>
      <w:r w:rsidRPr="00AE0F12">
        <w:rPr>
          <w:rFonts w:ascii="Times New Roman" w:hAnsi="Times New Roman" w:cs="Times New Roman"/>
          <w:sz w:val="24"/>
          <w:szCs w:val="24"/>
        </w:rPr>
        <w:t xml:space="preserve">Виявлення </w:t>
      </w:r>
      <w:proofErr w:type="spellStart"/>
      <w:r w:rsidRPr="00AE0F12">
        <w:rPr>
          <w:rFonts w:ascii="Times New Roman" w:hAnsi="Times New Roman" w:cs="Times New Roman"/>
          <w:sz w:val="24"/>
          <w:szCs w:val="24"/>
        </w:rPr>
        <w:t>звʼязку</w:t>
      </w:r>
      <w:proofErr w:type="spellEnd"/>
      <w:r w:rsidRPr="00AE0F12">
        <w:rPr>
          <w:rFonts w:ascii="Times New Roman" w:hAnsi="Times New Roman" w:cs="Times New Roman"/>
          <w:sz w:val="24"/>
          <w:szCs w:val="24"/>
        </w:rPr>
        <w:t xml:space="preserve"> між двома компаніями.</w:t>
      </w:r>
    </w:p>
    <w:p w14:paraId="70B40537"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5. Аналітика, практичні матеріали, галузеві новини:</w:t>
      </w:r>
    </w:p>
    <w:p w14:paraId="4538F8B4"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5.1. </w:t>
      </w:r>
      <w:r w:rsidRPr="00AE0F12">
        <w:rPr>
          <w:rFonts w:ascii="Times New Roman" w:hAnsi="Times New Roman" w:cs="Times New Roman"/>
          <w:sz w:val="24"/>
          <w:szCs w:val="24"/>
        </w:rPr>
        <w:t>Аналітичні матеріали для юристів, бухгалтерів та керівників;</w:t>
      </w:r>
    </w:p>
    <w:p w14:paraId="35A9F69F"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5.2. </w:t>
      </w:r>
      <w:r w:rsidRPr="00AE0F12">
        <w:rPr>
          <w:rFonts w:ascii="Times New Roman" w:hAnsi="Times New Roman" w:cs="Times New Roman"/>
          <w:sz w:val="24"/>
          <w:szCs w:val="24"/>
        </w:rPr>
        <w:t>Практичні ситуації для юристів, бухгалтерів, кадровиків та керівників;</w:t>
      </w:r>
    </w:p>
    <w:p w14:paraId="5466F472"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5.3. </w:t>
      </w:r>
      <w:r w:rsidRPr="00AE0F12">
        <w:rPr>
          <w:rFonts w:ascii="Times New Roman" w:hAnsi="Times New Roman" w:cs="Times New Roman"/>
          <w:sz w:val="24"/>
          <w:szCs w:val="24"/>
        </w:rPr>
        <w:t xml:space="preserve">Безкоштовні </w:t>
      </w:r>
      <w:proofErr w:type="spellStart"/>
      <w:r w:rsidRPr="00AE0F12">
        <w:rPr>
          <w:rFonts w:ascii="Times New Roman" w:hAnsi="Times New Roman" w:cs="Times New Roman"/>
          <w:sz w:val="24"/>
          <w:szCs w:val="24"/>
        </w:rPr>
        <w:t>вебінари</w:t>
      </w:r>
      <w:proofErr w:type="spellEnd"/>
      <w:r w:rsidRPr="00AE0F12">
        <w:rPr>
          <w:rFonts w:ascii="Times New Roman" w:hAnsi="Times New Roman" w:cs="Times New Roman"/>
          <w:sz w:val="24"/>
          <w:szCs w:val="24"/>
        </w:rPr>
        <w:t xml:space="preserve"> від LIGA на актуальні теми;</w:t>
      </w:r>
    </w:p>
    <w:p w14:paraId="0CBCAC95"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6. Договірна робота:</w:t>
      </w:r>
    </w:p>
    <w:p w14:paraId="3D358A93"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6.1. </w:t>
      </w:r>
      <w:r w:rsidRPr="00AE0F12">
        <w:rPr>
          <w:rFonts w:ascii="Times New Roman" w:hAnsi="Times New Roman" w:cs="Times New Roman"/>
          <w:sz w:val="24"/>
          <w:szCs w:val="24"/>
        </w:rPr>
        <w:t>Повний цикл створення договорів, їх аналізу та відслідковування виконання керівником;</w:t>
      </w:r>
    </w:p>
    <w:p w14:paraId="4A11F6F4"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6.2. </w:t>
      </w:r>
      <w:r w:rsidRPr="00AE0F12">
        <w:rPr>
          <w:rFonts w:ascii="Times New Roman" w:hAnsi="Times New Roman" w:cs="Times New Roman"/>
          <w:sz w:val="24"/>
          <w:szCs w:val="24"/>
        </w:rPr>
        <w:t>Автоматичний ML-аналіз договору на помилки, терміни, дати та суми до сплати;</w:t>
      </w:r>
    </w:p>
    <w:p w14:paraId="2E3BC868"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6.3. Не менш, ніж </w:t>
      </w:r>
      <w:r w:rsidRPr="00AE0F12">
        <w:rPr>
          <w:rFonts w:ascii="Times New Roman" w:hAnsi="Times New Roman" w:cs="Times New Roman"/>
          <w:sz w:val="24"/>
          <w:szCs w:val="24"/>
        </w:rPr>
        <w:t>500 перевірених і готових до роботи шаблонів;</w:t>
      </w:r>
    </w:p>
    <w:p w14:paraId="4684087C" w14:textId="77777777" w:rsidR="007B3B58" w:rsidRPr="00AE0F12" w:rsidRDefault="007B3B58" w:rsidP="007B3B58">
      <w:pPr>
        <w:spacing w:before="114"/>
        <w:ind w:right="-2" w:firstLine="709"/>
        <w:jc w:val="both"/>
        <w:rPr>
          <w:rFonts w:ascii="Times New Roman" w:hAnsi="Times New Roman" w:cs="Times New Roman"/>
          <w:sz w:val="24"/>
          <w:szCs w:val="24"/>
        </w:rPr>
      </w:pPr>
      <w:r w:rsidRPr="00AE0F12">
        <w:rPr>
          <w:rFonts w:ascii="Times New Roman" w:hAnsi="Times New Roman" w:cs="Times New Roman"/>
          <w:bCs/>
          <w:sz w:val="24"/>
          <w:szCs w:val="24"/>
        </w:rPr>
        <w:t xml:space="preserve">6.4. </w:t>
      </w:r>
      <w:r w:rsidRPr="00AE0F12">
        <w:rPr>
          <w:rFonts w:ascii="Times New Roman" w:hAnsi="Times New Roman" w:cs="Times New Roman"/>
          <w:sz w:val="24"/>
          <w:szCs w:val="24"/>
        </w:rPr>
        <w:t xml:space="preserve">Перевірка </w:t>
      </w:r>
      <w:proofErr w:type="spellStart"/>
      <w:r w:rsidRPr="00AE0F12">
        <w:rPr>
          <w:rFonts w:ascii="Times New Roman" w:hAnsi="Times New Roman" w:cs="Times New Roman"/>
          <w:sz w:val="24"/>
          <w:szCs w:val="24"/>
        </w:rPr>
        <w:t>контрагнетів</w:t>
      </w:r>
      <w:proofErr w:type="spellEnd"/>
      <w:r w:rsidRPr="00AE0F12">
        <w:rPr>
          <w:rFonts w:ascii="Times New Roman" w:hAnsi="Times New Roman" w:cs="Times New Roman"/>
          <w:sz w:val="24"/>
          <w:szCs w:val="24"/>
        </w:rPr>
        <w:t xml:space="preserve"> за ризик-факторами, моніторинг змін законодавства та статусу </w:t>
      </w:r>
      <w:proofErr w:type="spellStart"/>
      <w:r w:rsidRPr="00AE0F12">
        <w:rPr>
          <w:rFonts w:ascii="Times New Roman" w:hAnsi="Times New Roman" w:cs="Times New Roman"/>
          <w:sz w:val="24"/>
          <w:szCs w:val="24"/>
        </w:rPr>
        <w:t>парнетрів</w:t>
      </w:r>
      <w:proofErr w:type="spellEnd"/>
      <w:r w:rsidRPr="00AE0F12">
        <w:rPr>
          <w:rFonts w:ascii="Times New Roman" w:hAnsi="Times New Roman" w:cs="Times New Roman"/>
          <w:sz w:val="24"/>
          <w:szCs w:val="24"/>
        </w:rPr>
        <w:t xml:space="preserve"> прямо в договорі.</w:t>
      </w:r>
    </w:p>
    <w:p w14:paraId="52465A8E"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 Інструменти:</w:t>
      </w:r>
    </w:p>
    <w:p w14:paraId="700CEDCC"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7.1. Календар бухгалтера з датами звітності;</w:t>
      </w:r>
    </w:p>
    <w:p w14:paraId="3B0BA0BF"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7.2. Календар юриста з датами набрання чи втрати чинності законів та НПА;</w:t>
      </w:r>
    </w:p>
    <w:p w14:paraId="4822A01E"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7.3. Конструктор бухгалтерських проводок;</w:t>
      </w:r>
    </w:p>
    <w:p w14:paraId="73658BD7"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7.4. Калькулятор розрахунку сум індексації зарплати;</w:t>
      </w:r>
    </w:p>
    <w:p w14:paraId="19B2BB5B"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7.5. Калькулятор розрахунку тривалості відпустки;</w:t>
      </w:r>
    </w:p>
    <w:p w14:paraId="78CA5C76"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7.6. Калькулятор процесуальних строків;</w:t>
      </w:r>
    </w:p>
    <w:p w14:paraId="064A02DF" w14:textId="77777777" w:rsidR="007B3B58" w:rsidRPr="00AE0F12" w:rsidRDefault="007B3B58" w:rsidP="007B3B58">
      <w:pPr>
        <w:spacing w:before="114"/>
        <w:ind w:right="-2" w:firstLine="709"/>
        <w:jc w:val="both"/>
        <w:rPr>
          <w:rFonts w:ascii="Times New Roman" w:hAnsi="Times New Roman" w:cs="Times New Roman"/>
          <w:bCs/>
          <w:sz w:val="24"/>
          <w:szCs w:val="24"/>
        </w:rPr>
      </w:pPr>
      <w:r w:rsidRPr="00AE0F12">
        <w:rPr>
          <w:rFonts w:ascii="Times New Roman" w:hAnsi="Times New Roman" w:cs="Times New Roman"/>
          <w:bCs/>
          <w:sz w:val="24"/>
          <w:szCs w:val="24"/>
        </w:rPr>
        <w:t>7.7. Калькулятор підрахунку заборгованості та штрафних санкцій.</w:t>
      </w:r>
    </w:p>
    <w:p w14:paraId="605CDCFB" w14:textId="77777777" w:rsidR="007B3B58" w:rsidRPr="00AE0F12" w:rsidRDefault="007B3B58" w:rsidP="007B3B58">
      <w:pPr>
        <w:tabs>
          <w:tab w:val="left" w:pos="142"/>
        </w:tabs>
        <w:spacing w:before="100" w:beforeAutospacing="1" w:after="100" w:afterAutospacing="1" w:line="240" w:lineRule="auto"/>
        <w:ind w:right="-2" w:firstLine="709"/>
        <w:contextualSpacing/>
        <w:jc w:val="both"/>
        <w:rPr>
          <w:rFonts w:ascii="Times New Roman" w:eastAsia="Times New Roman" w:hAnsi="Times New Roman" w:cs="Times New Roman"/>
          <w:color w:val="000000"/>
          <w:spacing w:val="-4"/>
          <w:sz w:val="24"/>
          <w:szCs w:val="24"/>
          <w:lang w:eastAsia="ru-RU"/>
        </w:rPr>
      </w:pPr>
      <w:r w:rsidRPr="00AE0F12">
        <w:rPr>
          <w:rFonts w:ascii="Times New Roman" w:eastAsia="Times New Roman" w:hAnsi="Times New Roman" w:cs="Times New Roman"/>
          <w:color w:val="000000"/>
          <w:spacing w:val="-4"/>
          <w:sz w:val="24"/>
          <w:szCs w:val="24"/>
          <w:lang w:eastAsia="ru-RU"/>
        </w:rPr>
        <w:lastRenderedPageBreak/>
        <w:t>Послуги, запропоновані Учасником, повинні відповідати технічним вимогам.</w:t>
      </w:r>
    </w:p>
    <w:p w14:paraId="65967D52" w14:textId="77777777" w:rsidR="007B3B58" w:rsidRPr="00AE0F12" w:rsidRDefault="007B3B58" w:rsidP="007B3B58">
      <w:pPr>
        <w:spacing w:before="100" w:beforeAutospacing="1" w:after="100" w:afterAutospacing="1" w:line="240" w:lineRule="auto"/>
        <w:ind w:right="-2" w:firstLine="709"/>
        <w:contextualSpacing/>
        <w:jc w:val="both"/>
        <w:rPr>
          <w:rFonts w:ascii="Times New Roman" w:eastAsia="Times New Roman" w:hAnsi="Times New Roman" w:cs="Times New Roman"/>
          <w:color w:val="000000"/>
          <w:sz w:val="24"/>
          <w:szCs w:val="24"/>
          <w:lang w:eastAsia="ru-RU"/>
        </w:rPr>
      </w:pPr>
      <w:r w:rsidRPr="00AE0F12">
        <w:rPr>
          <w:rFonts w:ascii="Times New Roman" w:eastAsia="Times New Roman" w:hAnsi="Times New Roman" w:cs="Times New Roman"/>
          <w:color w:val="000000"/>
          <w:sz w:val="24"/>
          <w:szCs w:val="24"/>
          <w:lang w:eastAsia="ru-RU"/>
        </w:rPr>
        <w:t>У разі, якщо запропоновані послуги не відповідають технічним вимогам Замовника, або Учасник (Виконавець) не в змозі виконати умови їх надання, які зазначені Замовником, пропозиція відхиляється.</w:t>
      </w:r>
    </w:p>
    <w:p w14:paraId="5952A175" w14:textId="77777777" w:rsidR="007B3B58" w:rsidRPr="00AE0F12" w:rsidRDefault="007B3B58" w:rsidP="007B3B58">
      <w:pPr>
        <w:suppressAutoHyphens/>
        <w:spacing w:before="100" w:beforeAutospacing="1" w:after="100" w:afterAutospacing="1" w:line="240" w:lineRule="auto"/>
        <w:ind w:right="-2" w:firstLine="709"/>
        <w:contextualSpacing/>
        <w:jc w:val="both"/>
        <w:rPr>
          <w:rFonts w:ascii="Times New Roman" w:hAnsi="Times New Roman" w:cs="Times New Roman"/>
          <w:color w:val="000000"/>
          <w:sz w:val="24"/>
          <w:szCs w:val="24"/>
        </w:rPr>
      </w:pPr>
      <w:r w:rsidRPr="00AE0F12">
        <w:rPr>
          <w:rFonts w:ascii="Times New Roman" w:hAnsi="Times New Roman" w:cs="Times New Roman"/>
          <w:color w:val="000000"/>
          <w:sz w:val="24"/>
          <w:szCs w:val="24"/>
        </w:rPr>
        <w:t xml:space="preserve">У разі надання послуг неналежної якості або послуг, що не будуть відповідати вимогам державних стандартів, </w:t>
      </w:r>
      <w:r w:rsidRPr="00AE0F12">
        <w:rPr>
          <w:rFonts w:ascii="Times New Roman" w:eastAsia="Times New Roman" w:hAnsi="Times New Roman" w:cs="Times New Roman"/>
          <w:color w:val="000000"/>
          <w:sz w:val="24"/>
          <w:szCs w:val="24"/>
          <w:lang w:eastAsia="ru-RU"/>
        </w:rPr>
        <w:t>Учасник (Виконавець)</w:t>
      </w:r>
      <w:r w:rsidRPr="00AE0F12">
        <w:rPr>
          <w:rFonts w:ascii="Times New Roman" w:hAnsi="Times New Roman" w:cs="Times New Roman"/>
          <w:color w:val="000000"/>
          <w:sz w:val="24"/>
          <w:szCs w:val="24"/>
        </w:rPr>
        <w:t xml:space="preserve"> зобов’язується за свій рахунок протягом трьох календарних днів після отримання повідомлення Замовника усунути недоліки.</w:t>
      </w:r>
    </w:p>
    <w:p w14:paraId="5208EA35" w14:textId="77777777" w:rsidR="007B3B58" w:rsidRDefault="007B3B58" w:rsidP="007B3B58">
      <w:pPr>
        <w:widowControl w:val="0"/>
        <w:autoSpaceDE w:val="0"/>
        <w:autoSpaceDN w:val="0"/>
        <w:adjustRightInd w:val="0"/>
        <w:spacing w:before="100" w:beforeAutospacing="1" w:after="100" w:afterAutospacing="1" w:line="240" w:lineRule="auto"/>
        <w:contextualSpacing/>
        <w:jc w:val="both"/>
        <w:rPr>
          <w:rFonts w:ascii="Times New Roman" w:eastAsia="Times New Roman" w:hAnsi="Times New Roman" w:cs="Times New Roman"/>
          <w:color w:val="000000"/>
          <w:sz w:val="24"/>
          <w:szCs w:val="24"/>
          <w:lang w:eastAsia="ru-RU"/>
        </w:rPr>
      </w:pPr>
    </w:p>
    <w:p w14:paraId="3B0DD1E4" w14:textId="77777777" w:rsidR="007B3B58" w:rsidRPr="00F0017F" w:rsidRDefault="007B3B58" w:rsidP="007B3B58">
      <w:pPr>
        <w:spacing w:before="114"/>
        <w:ind w:left="118" w:right="118" w:firstLine="566"/>
        <w:jc w:val="both"/>
        <w:rPr>
          <w:sz w:val="24"/>
          <w:szCs w:val="24"/>
        </w:rPr>
      </w:pPr>
    </w:p>
    <w:p w14:paraId="0000001F" w14:textId="77777777" w:rsidR="00E53792" w:rsidRDefault="00E53792" w:rsidP="007B3B58">
      <w:pPr>
        <w:spacing w:after="0" w:line="240" w:lineRule="auto"/>
        <w:jc w:val="center"/>
        <w:rPr>
          <w:rFonts w:ascii="Times New Roman" w:eastAsia="Times New Roman" w:hAnsi="Times New Roman" w:cs="Times New Roman"/>
          <w:color w:val="000000"/>
          <w:sz w:val="24"/>
          <w:szCs w:val="24"/>
          <w:highlight w:val="white"/>
        </w:rPr>
      </w:pPr>
    </w:p>
    <w:sectPr w:rsidR="00E53792" w:rsidSect="0015657E">
      <w:headerReference w:type="default" r:id="rId9"/>
      <w:pgSz w:w="11907" w:h="16840"/>
      <w:pgMar w:top="426" w:right="850" w:bottom="709"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5ED8" w14:textId="77777777" w:rsidR="00487CD0" w:rsidRDefault="00487CD0">
      <w:pPr>
        <w:spacing w:after="0" w:line="240" w:lineRule="auto"/>
      </w:pPr>
      <w:r>
        <w:separator/>
      </w:r>
    </w:p>
  </w:endnote>
  <w:endnote w:type="continuationSeparator" w:id="0">
    <w:p w14:paraId="7F14287E" w14:textId="77777777" w:rsidR="00487CD0" w:rsidRDefault="0048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2FE4" w14:textId="77777777" w:rsidR="00487CD0" w:rsidRDefault="00487CD0">
      <w:pPr>
        <w:spacing w:after="0" w:line="240" w:lineRule="auto"/>
      </w:pPr>
      <w:r>
        <w:separator/>
      </w:r>
    </w:p>
  </w:footnote>
  <w:footnote w:type="continuationSeparator" w:id="0">
    <w:p w14:paraId="4892E583" w14:textId="77777777" w:rsidR="00487CD0" w:rsidRDefault="0048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5ECA" w14:textId="77777777" w:rsidR="008002DC" w:rsidRPr="00DA3242" w:rsidRDefault="008002DC" w:rsidP="00DA32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038B"/>
    <w:multiLevelType w:val="hybridMultilevel"/>
    <w:tmpl w:val="45149726"/>
    <w:lvl w:ilvl="0" w:tplc="60C863E6">
      <w:start w:val="2"/>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15:restartNumberingAfterBreak="0">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43B0431"/>
    <w:multiLevelType w:val="hybridMultilevel"/>
    <w:tmpl w:val="70A87F2E"/>
    <w:lvl w:ilvl="0" w:tplc="3F7281D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4" w15:restartNumberingAfterBreak="0">
    <w:nsid w:val="48302F33"/>
    <w:multiLevelType w:val="hybridMultilevel"/>
    <w:tmpl w:val="D62E3C92"/>
    <w:lvl w:ilvl="0" w:tplc="60C863E6">
      <w:start w:val="2"/>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5"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2B46DDF"/>
    <w:multiLevelType w:val="hybridMultilevel"/>
    <w:tmpl w:val="9D4600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91616679">
    <w:abstractNumId w:val="2"/>
  </w:num>
  <w:num w:numId="2" w16cid:durableId="1853717138">
    <w:abstractNumId w:val="5"/>
  </w:num>
  <w:num w:numId="3" w16cid:durableId="2022537784">
    <w:abstractNumId w:val="1"/>
  </w:num>
  <w:num w:numId="4" w16cid:durableId="1684211863">
    <w:abstractNumId w:val="6"/>
  </w:num>
  <w:num w:numId="5" w16cid:durableId="943537124">
    <w:abstractNumId w:val="3"/>
  </w:num>
  <w:num w:numId="6" w16cid:durableId="1979795988">
    <w:abstractNumId w:val="4"/>
  </w:num>
  <w:num w:numId="7" w16cid:durableId="76966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0814"/>
    <w:rsid w:val="000346A6"/>
    <w:rsid w:val="00050E2B"/>
    <w:rsid w:val="00055FF3"/>
    <w:rsid w:val="00074F7B"/>
    <w:rsid w:val="0009349F"/>
    <w:rsid w:val="000A574B"/>
    <w:rsid w:val="000E4EF9"/>
    <w:rsid w:val="000E7569"/>
    <w:rsid w:val="00113636"/>
    <w:rsid w:val="00137F1F"/>
    <w:rsid w:val="00153805"/>
    <w:rsid w:val="0015657E"/>
    <w:rsid w:val="0017344E"/>
    <w:rsid w:val="00175555"/>
    <w:rsid w:val="001A399A"/>
    <w:rsid w:val="001B6B25"/>
    <w:rsid w:val="001D5AD6"/>
    <w:rsid w:val="001E5B73"/>
    <w:rsid w:val="001F4F4E"/>
    <w:rsid w:val="002012C3"/>
    <w:rsid w:val="00216BAD"/>
    <w:rsid w:val="002317A4"/>
    <w:rsid w:val="0026317C"/>
    <w:rsid w:val="00276D07"/>
    <w:rsid w:val="00293BD5"/>
    <w:rsid w:val="002B454A"/>
    <w:rsid w:val="002C4CE3"/>
    <w:rsid w:val="002D4798"/>
    <w:rsid w:val="00303999"/>
    <w:rsid w:val="00316E5E"/>
    <w:rsid w:val="00361986"/>
    <w:rsid w:val="00366891"/>
    <w:rsid w:val="00392777"/>
    <w:rsid w:val="003976BE"/>
    <w:rsid w:val="003E32CE"/>
    <w:rsid w:val="003F6B3B"/>
    <w:rsid w:val="00440C05"/>
    <w:rsid w:val="00487CD0"/>
    <w:rsid w:val="004A15AD"/>
    <w:rsid w:val="004B262F"/>
    <w:rsid w:val="004C23D6"/>
    <w:rsid w:val="004D61F2"/>
    <w:rsid w:val="004D7FCC"/>
    <w:rsid w:val="00543EFF"/>
    <w:rsid w:val="00565D92"/>
    <w:rsid w:val="00572FF5"/>
    <w:rsid w:val="005A3B2B"/>
    <w:rsid w:val="005E530C"/>
    <w:rsid w:val="006019D4"/>
    <w:rsid w:val="0061182A"/>
    <w:rsid w:val="006122F6"/>
    <w:rsid w:val="0062482D"/>
    <w:rsid w:val="0064155B"/>
    <w:rsid w:val="006461AF"/>
    <w:rsid w:val="00677857"/>
    <w:rsid w:val="006A0384"/>
    <w:rsid w:val="006A62A0"/>
    <w:rsid w:val="006B7AA9"/>
    <w:rsid w:val="006D4703"/>
    <w:rsid w:val="0072478A"/>
    <w:rsid w:val="007318FE"/>
    <w:rsid w:val="00766D8F"/>
    <w:rsid w:val="007B067D"/>
    <w:rsid w:val="007B3B58"/>
    <w:rsid w:val="007E15DA"/>
    <w:rsid w:val="007E19E9"/>
    <w:rsid w:val="007E3652"/>
    <w:rsid w:val="008002DC"/>
    <w:rsid w:val="0080263F"/>
    <w:rsid w:val="0083265A"/>
    <w:rsid w:val="008454A8"/>
    <w:rsid w:val="008707BD"/>
    <w:rsid w:val="00884271"/>
    <w:rsid w:val="008B48A2"/>
    <w:rsid w:val="008C28E6"/>
    <w:rsid w:val="00905101"/>
    <w:rsid w:val="00956D2B"/>
    <w:rsid w:val="00961D37"/>
    <w:rsid w:val="009B367A"/>
    <w:rsid w:val="009C1BEB"/>
    <w:rsid w:val="00A73F52"/>
    <w:rsid w:val="00AA33BF"/>
    <w:rsid w:val="00AA7E06"/>
    <w:rsid w:val="00AD42DB"/>
    <w:rsid w:val="00AD5C72"/>
    <w:rsid w:val="00B22D5E"/>
    <w:rsid w:val="00B640F9"/>
    <w:rsid w:val="00B932D5"/>
    <w:rsid w:val="00BB2731"/>
    <w:rsid w:val="00BB3E0E"/>
    <w:rsid w:val="00BB762B"/>
    <w:rsid w:val="00BC1B43"/>
    <w:rsid w:val="00BC1DB2"/>
    <w:rsid w:val="00BF7616"/>
    <w:rsid w:val="00C02144"/>
    <w:rsid w:val="00C042A4"/>
    <w:rsid w:val="00C412D6"/>
    <w:rsid w:val="00C621C8"/>
    <w:rsid w:val="00C87ACB"/>
    <w:rsid w:val="00C95CBA"/>
    <w:rsid w:val="00CC06D5"/>
    <w:rsid w:val="00CD43E1"/>
    <w:rsid w:val="00D03B9E"/>
    <w:rsid w:val="00D2753F"/>
    <w:rsid w:val="00D63533"/>
    <w:rsid w:val="00D6392E"/>
    <w:rsid w:val="00D83134"/>
    <w:rsid w:val="00D92EA5"/>
    <w:rsid w:val="00DA37F7"/>
    <w:rsid w:val="00DD4936"/>
    <w:rsid w:val="00E0162A"/>
    <w:rsid w:val="00E31A69"/>
    <w:rsid w:val="00E53792"/>
    <w:rsid w:val="00E602B2"/>
    <w:rsid w:val="00E745EB"/>
    <w:rsid w:val="00E86DFD"/>
    <w:rsid w:val="00EA28F5"/>
    <w:rsid w:val="00ED6237"/>
    <w:rsid w:val="00F20E6A"/>
    <w:rsid w:val="00F26924"/>
    <w:rsid w:val="00F461D4"/>
    <w:rsid w:val="00F540B1"/>
    <w:rsid w:val="00F54C46"/>
    <w:rsid w:val="00F717E1"/>
    <w:rsid w:val="00FF23EE"/>
    <w:rsid w:val="0614B3A9"/>
    <w:rsid w:val="0EF09969"/>
    <w:rsid w:val="1D2E42F7"/>
    <w:rsid w:val="28F4B71A"/>
    <w:rsid w:val="2E67F5D5"/>
    <w:rsid w:val="40F65BFF"/>
    <w:rsid w:val="477BE7F2"/>
    <w:rsid w:val="54E62CAB"/>
    <w:rsid w:val="592EDF49"/>
    <w:rsid w:val="5C13ACD2"/>
    <w:rsid w:val="6E87545D"/>
    <w:rsid w:val="75DA9ADF"/>
    <w:rsid w:val="764AB722"/>
    <w:rsid w:val="7C75BCC4"/>
    <w:rsid w:val="7CCB0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1F2"/>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0"/>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iPriority w:val="99"/>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uiPriority w:val="1"/>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uiPriority w:val="1"/>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uiPriority w:val="99"/>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cf01">
    <w:name w:val="cf01"/>
    <w:basedOn w:val="a0"/>
    <w:rsid w:val="00543E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290877-1EB3-453D-AEA7-19094C81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5104</Words>
  <Characters>2910</Characters>
  <Application>Microsoft Office Word</Application>
  <DocSecurity>0</DocSecurity>
  <Lines>24</Lines>
  <Paragraphs>15</Paragraphs>
  <ScaleCrop>false</ScaleCrop>
  <Company>Public Health Center of the MOH of Ukraine</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Вікторія Клєвцова</cp:lastModifiedBy>
  <cp:revision>11</cp:revision>
  <cp:lastPrinted>2025-11-05T13:44:00Z</cp:lastPrinted>
  <dcterms:created xsi:type="dcterms:W3CDTF">2025-11-11T09:44:00Z</dcterms:created>
  <dcterms:modified xsi:type="dcterms:W3CDTF">2025-11-27T14:19:00Z</dcterms:modified>
</cp:coreProperties>
</file>